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75A6ADEE" w:rsidR="00E90E49" w:rsidRPr="00CC47CF" w:rsidRDefault="00E90E49" w:rsidP="00E35559">
      <w:pPr>
        <w:pStyle w:val="3GPPHeader"/>
        <w:spacing w:after="60"/>
        <w:rPr>
          <w:sz w:val="32"/>
          <w:szCs w:val="32"/>
          <w:highlight w:val="yellow"/>
          <w:lang w:val="en-CA"/>
        </w:rPr>
      </w:pPr>
      <w:bookmarkStart w:id="0" w:name="_Hlk3551190"/>
      <w:r w:rsidRPr="00F53A11">
        <w:rPr>
          <w:sz w:val="24"/>
          <w:lang w:val="en-CA"/>
        </w:rPr>
        <w:t xml:space="preserve">3GPP TSG-RAN </w:t>
      </w:r>
      <w:r w:rsidR="00673538" w:rsidRPr="00F53A11">
        <w:rPr>
          <w:sz w:val="24"/>
          <w:lang w:val="en-CA"/>
        </w:rPr>
        <w:t>WG2 #105</w:t>
      </w:r>
      <w:r w:rsidR="00C37E87" w:rsidRPr="00F53A11">
        <w:rPr>
          <w:sz w:val="24"/>
          <w:lang w:val="en-CA"/>
        </w:rPr>
        <w:t>bis</w:t>
      </w:r>
      <w:r w:rsidRPr="00CC47CF">
        <w:rPr>
          <w:lang w:val="en-CA"/>
        </w:rPr>
        <w:tab/>
      </w:r>
      <w:r w:rsidRPr="00CC47CF">
        <w:rPr>
          <w:sz w:val="32"/>
          <w:szCs w:val="32"/>
          <w:lang w:val="en-CA"/>
        </w:rPr>
        <w:t xml:space="preserve">Tdoc </w:t>
      </w:r>
      <w:r w:rsidR="00091557" w:rsidRPr="00CC47CF">
        <w:rPr>
          <w:sz w:val="32"/>
          <w:szCs w:val="32"/>
          <w:lang w:val="en-CA"/>
        </w:rPr>
        <w:t>R2-</w:t>
      </w:r>
      <w:r w:rsidR="00CA375F" w:rsidRPr="00CA375F">
        <w:rPr>
          <w:sz w:val="32"/>
          <w:szCs w:val="32"/>
          <w:lang w:val="en-CA"/>
        </w:rPr>
        <w:t>19</w:t>
      </w:r>
      <w:r w:rsidR="00E00824" w:rsidRPr="00E00824">
        <w:rPr>
          <w:sz w:val="32"/>
          <w:szCs w:val="32"/>
          <w:lang w:val="en-CA"/>
        </w:rPr>
        <w:t>04498</w:t>
      </w:r>
    </w:p>
    <w:p w14:paraId="241245CE" w14:textId="0A6596B1" w:rsidR="00C32939" w:rsidRPr="0044765B" w:rsidRDefault="00C32939" w:rsidP="00C32939">
      <w:pPr>
        <w:pStyle w:val="3GPPHeader"/>
        <w:rPr>
          <w:lang w:val="en-CA"/>
        </w:rPr>
      </w:pPr>
      <w:bookmarkStart w:id="1" w:name="_Hlk3390498"/>
      <w:bookmarkStart w:id="2" w:name="_Hlk3551406"/>
      <w:bookmarkEnd w:id="0"/>
      <w:proofErr w:type="spellStart"/>
      <w:r w:rsidRPr="00F53A11">
        <w:rPr>
          <w:sz w:val="24"/>
          <w:lang w:val="en-CA"/>
        </w:rPr>
        <w:t>Xi’An</w:t>
      </w:r>
      <w:proofErr w:type="spellEnd"/>
      <w:r w:rsidRPr="00F53A11">
        <w:rPr>
          <w:sz w:val="24"/>
          <w:lang w:val="en-CA"/>
        </w:rPr>
        <w:t>, China, 8 – 12 April 2019</w:t>
      </w:r>
      <w:bookmarkEnd w:id="1"/>
      <w:r w:rsidRPr="0044765B">
        <w:rPr>
          <w:lang w:val="en-CA"/>
        </w:rPr>
        <w:tab/>
        <w:t>Revision of R2-19</w:t>
      </w:r>
      <w:r w:rsidR="00BC6BEB" w:rsidRPr="0044765B">
        <w:rPr>
          <w:lang w:val="en-CA"/>
        </w:rPr>
        <w:t>01194</w:t>
      </w:r>
    </w:p>
    <w:p w14:paraId="1AA07094" w14:textId="77777777" w:rsidR="00E90E49" w:rsidRPr="0044765B" w:rsidRDefault="00E90E49" w:rsidP="00357380">
      <w:pPr>
        <w:pStyle w:val="3GPPHeader"/>
        <w:rPr>
          <w:lang w:val="en-CA"/>
        </w:rPr>
      </w:pPr>
      <w:bookmarkStart w:id="3" w:name="_GoBack"/>
      <w:bookmarkEnd w:id="2"/>
      <w:bookmarkEnd w:id="3"/>
    </w:p>
    <w:p w14:paraId="180B8DCC" w14:textId="62C471E6" w:rsidR="00E90E49" w:rsidRPr="00235EB0" w:rsidRDefault="00E90E49" w:rsidP="00311702">
      <w:pPr>
        <w:pStyle w:val="3GPPHeader"/>
        <w:rPr>
          <w:lang w:val="en-CA"/>
        </w:rPr>
      </w:pPr>
      <w:r w:rsidRPr="00235EB0">
        <w:rPr>
          <w:lang w:val="en-CA"/>
        </w:rPr>
        <w:t>Agenda Item:</w:t>
      </w:r>
      <w:r w:rsidRPr="00235EB0">
        <w:rPr>
          <w:lang w:val="en-CA"/>
        </w:rPr>
        <w:tab/>
      </w:r>
      <w:r w:rsidR="00A01AF5" w:rsidRPr="0095064E">
        <w:rPr>
          <w:lang w:val="en-CA"/>
        </w:rPr>
        <w:t>12.2.</w:t>
      </w:r>
      <w:r w:rsidR="00B60BA7" w:rsidRPr="0095064E">
        <w:rPr>
          <w:lang w:val="en-CA"/>
        </w:rPr>
        <w:t>3</w:t>
      </w:r>
    </w:p>
    <w:p w14:paraId="0E4B8F26" w14:textId="77777777" w:rsidR="00E90E49" w:rsidRPr="00235EB0" w:rsidRDefault="003D3C45" w:rsidP="00F64C2B">
      <w:pPr>
        <w:pStyle w:val="3GPPHeader"/>
        <w:rPr>
          <w:lang w:val="en-CA"/>
        </w:rPr>
      </w:pPr>
      <w:r w:rsidRPr="00235EB0">
        <w:rPr>
          <w:lang w:val="en-CA"/>
        </w:rPr>
        <w:t>Source:</w:t>
      </w:r>
      <w:r w:rsidR="00E90E49" w:rsidRPr="00235EB0">
        <w:rPr>
          <w:lang w:val="en-CA"/>
        </w:rPr>
        <w:tab/>
      </w:r>
      <w:r w:rsidR="00F64C2B" w:rsidRPr="00235EB0">
        <w:rPr>
          <w:lang w:val="en-CA"/>
        </w:rPr>
        <w:t>Ericsson</w:t>
      </w:r>
    </w:p>
    <w:p w14:paraId="03BF5596" w14:textId="7838EABD" w:rsidR="00E90E49" w:rsidRPr="00235EB0" w:rsidRDefault="003D3C45" w:rsidP="00311702">
      <w:pPr>
        <w:pStyle w:val="3GPPHeader"/>
        <w:rPr>
          <w:lang w:val="en-CA"/>
        </w:rPr>
      </w:pPr>
      <w:r w:rsidRPr="00235EB0">
        <w:rPr>
          <w:lang w:val="en-CA"/>
        </w:rPr>
        <w:t>Title:</w:t>
      </w:r>
      <w:r w:rsidR="00E90E49" w:rsidRPr="00235EB0">
        <w:rPr>
          <w:lang w:val="en-CA"/>
        </w:rPr>
        <w:tab/>
      </w:r>
      <w:r w:rsidR="00B87674">
        <w:rPr>
          <w:lang w:val="en-CA"/>
        </w:rPr>
        <w:t>Mobility</w:t>
      </w:r>
      <w:r w:rsidR="00B87674" w:rsidRPr="00235EB0">
        <w:rPr>
          <w:lang w:val="en-CA"/>
        </w:rPr>
        <w:t xml:space="preserve"> </w:t>
      </w:r>
      <w:r w:rsidR="00B87674">
        <w:rPr>
          <w:lang w:val="en-CA"/>
        </w:rPr>
        <w:t xml:space="preserve">WUS </w:t>
      </w:r>
      <w:r w:rsidR="00B87674" w:rsidRPr="00235EB0">
        <w:rPr>
          <w:lang w:val="en-CA"/>
        </w:rPr>
        <w:t>group</w:t>
      </w:r>
      <w:r w:rsidR="00B87674">
        <w:rPr>
          <w:lang w:val="en-CA"/>
        </w:rPr>
        <w:t xml:space="preserve"> and p</w:t>
      </w:r>
      <w:r w:rsidR="00C8153B">
        <w:rPr>
          <w:lang w:val="en-CA"/>
        </w:rPr>
        <w:t xml:space="preserve">aging multiplexing </w:t>
      </w:r>
    </w:p>
    <w:p w14:paraId="5E43187B" w14:textId="77777777" w:rsidR="00E90E49" w:rsidRPr="00235EB0" w:rsidRDefault="00E90E49" w:rsidP="00D546FF">
      <w:pPr>
        <w:pStyle w:val="3GPPHeader"/>
        <w:rPr>
          <w:lang w:val="en-CA"/>
        </w:rPr>
      </w:pPr>
      <w:r w:rsidRPr="00235EB0">
        <w:rPr>
          <w:lang w:val="en-CA"/>
        </w:rPr>
        <w:t>Document for:</w:t>
      </w:r>
      <w:r w:rsidRPr="00235EB0">
        <w:rPr>
          <w:lang w:val="en-CA"/>
        </w:rPr>
        <w:tab/>
        <w:t>Discussion, Decision</w:t>
      </w:r>
    </w:p>
    <w:p w14:paraId="4F0F2157" w14:textId="77777777" w:rsidR="00E90E49" w:rsidRPr="00235EB0"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319FD81E" w14:textId="464033DC" w:rsidR="00621DB9" w:rsidRPr="00BD2686" w:rsidRDefault="00621DB9" w:rsidP="00BD2686">
      <w:pPr>
        <w:rPr>
          <w:rFonts w:ascii="Arial" w:hAnsi="Arial" w:cs="Arial"/>
          <w:lang w:val="en-CA"/>
        </w:rPr>
      </w:pPr>
      <w:r w:rsidRPr="00235EB0">
        <w:rPr>
          <w:rFonts w:ascii="Arial" w:hAnsi="Arial" w:cs="Arial"/>
          <w:sz w:val="20"/>
          <w:lang w:val="en-CA"/>
        </w:rPr>
        <w:t xml:space="preserve">The Rel-16 Work Item Descriptions for LTE-M </w:t>
      </w:r>
      <w:r w:rsidRPr="00235EB0">
        <w:rPr>
          <w:rFonts w:ascii="Arial" w:hAnsi="Arial" w:cs="Arial"/>
          <w:sz w:val="20"/>
        </w:rPr>
        <w:fldChar w:fldCharType="begin"/>
      </w:r>
      <w:r w:rsidRPr="00235EB0">
        <w:rPr>
          <w:rFonts w:ascii="Arial" w:hAnsi="Arial" w:cs="Arial"/>
          <w:sz w:val="20"/>
          <w:lang w:val="en-CA"/>
        </w:rPr>
        <w:instrText xml:space="preserve"> REF _Ref517702140 \n \h </w:instrText>
      </w:r>
      <w:r w:rsidR="001502DA" w:rsidRPr="00235EB0">
        <w:rPr>
          <w:rFonts w:ascii="Arial" w:hAnsi="Arial" w:cs="Arial"/>
          <w:sz w:val="20"/>
          <w:lang w:val="en-CA"/>
        </w:rPr>
        <w:instrText xml:space="preserve"> \* MERGEFORMAT </w:instrText>
      </w:r>
      <w:r w:rsidRPr="00235EB0">
        <w:rPr>
          <w:rFonts w:ascii="Arial" w:hAnsi="Arial" w:cs="Arial"/>
          <w:sz w:val="20"/>
        </w:rPr>
      </w:r>
      <w:r w:rsidRPr="00235EB0">
        <w:rPr>
          <w:rFonts w:ascii="Arial" w:hAnsi="Arial" w:cs="Arial"/>
          <w:sz w:val="20"/>
        </w:rPr>
        <w:fldChar w:fldCharType="separate"/>
      </w:r>
      <w:r w:rsidR="009D0A97">
        <w:rPr>
          <w:rFonts w:ascii="Arial" w:hAnsi="Arial" w:cs="Arial"/>
          <w:sz w:val="20"/>
          <w:lang w:val="en-CA"/>
        </w:rPr>
        <w:t>[1]</w:t>
      </w:r>
      <w:r w:rsidRPr="00235EB0">
        <w:rPr>
          <w:rFonts w:ascii="Arial" w:hAnsi="Arial" w:cs="Arial"/>
          <w:sz w:val="20"/>
        </w:rPr>
        <w:fldChar w:fldCharType="end"/>
      </w:r>
      <w:r w:rsidRPr="00235EB0">
        <w:rPr>
          <w:rFonts w:ascii="Arial" w:hAnsi="Arial" w:cs="Arial"/>
          <w:sz w:val="20"/>
          <w:lang w:val="en-CA"/>
        </w:rPr>
        <w:t xml:space="preserve"> and NB-IoT </w:t>
      </w:r>
      <w:r w:rsidR="00797520">
        <w:rPr>
          <w:rFonts w:ascii="Arial" w:hAnsi="Arial" w:cs="Arial"/>
          <w:sz w:val="20"/>
        </w:rPr>
        <w:fldChar w:fldCharType="begin"/>
      </w:r>
      <w:r w:rsidR="00797520">
        <w:rPr>
          <w:rFonts w:ascii="Arial" w:hAnsi="Arial" w:cs="Arial"/>
          <w:sz w:val="20"/>
          <w:lang w:val="en-CA"/>
        </w:rPr>
        <w:instrText xml:space="preserve"> REF _Ref1080767 \n \h </w:instrText>
      </w:r>
      <w:r w:rsidR="00797520">
        <w:rPr>
          <w:rFonts w:ascii="Arial" w:hAnsi="Arial" w:cs="Arial"/>
          <w:sz w:val="20"/>
        </w:rPr>
      </w:r>
      <w:r w:rsidR="00797520">
        <w:rPr>
          <w:rFonts w:ascii="Arial" w:hAnsi="Arial" w:cs="Arial"/>
          <w:sz w:val="20"/>
        </w:rPr>
        <w:fldChar w:fldCharType="separate"/>
      </w:r>
      <w:r w:rsidR="009D0A97">
        <w:rPr>
          <w:rFonts w:ascii="Arial" w:hAnsi="Arial" w:cs="Arial"/>
          <w:sz w:val="20"/>
          <w:lang w:val="en-CA"/>
        </w:rPr>
        <w:t>[1]</w:t>
      </w:r>
      <w:r w:rsidR="00797520">
        <w:rPr>
          <w:rFonts w:ascii="Arial" w:hAnsi="Arial" w:cs="Arial"/>
          <w:sz w:val="20"/>
        </w:rPr>
        <w:fldChar w:fldCharType="end"/>
      </w:r>
      <w:r w:rsidR="00797520" w:rsidRPr="0044765B">
        <w:rPr>
          <w:rFonts w:ascii="Arial" w:hAnsi="Arial" w:cs="Arial"/>
          <w:sz w:val="20"/>
          <w:lang w:val="en-CA"/>
        </w:rPr>
        <w:t xml:space="preserve"> </w:t>
      </w:r>
      <w:r w:rsidRPr="00235EB0">
        <w:rPr>
          <w:rFonts w:ascii="Arial" w:hAnsi="Arial" w:cs="Arial"/>
          <w:sz w:val="20"/>
          <w:lang w:val="en-CA"/>
        </w:rPr>
        <w:t>contain a common objective on enhancing the wake-up signal (WUS) that was introduced in Rel-15:</w:t>
      </w:r>
    </w:p>
    <w:tbl>
      <w:tblPr>
        <w:tblStyle w:val="TableGrid"/>
        <w:tblW w:w="0" w:type="auto"/>
        <w:tblLook w:val="04A0" w:firstRow="1" w:lastRow="0" w:firstColumn="1" w:lastColumn="0" w:noHBand="0" w:noVBand="1"/>
      </w:tblPr>
      <w:tblGrid>
        <w:gridCol w:w="9629"/>
      </w:tblGrid>
      <w:tr w:rsidR="00621DB9" w:rsidRPr="00F53A11" w14:paraId="179B511A" w14:textId="77777777" w:rsidTr="009B04C8">
        <w:tc>
          <w:tcPr>
            <w:tcW w:w="9629" w:type="dxa"/>
          </w:tcPr>
          <w:p w14:paraId="5C32BB3B" w14:textId="77777777" w:rsidR="00621DB9" w:rsidRPr="00235EB0" w:rsidRDefault="00621DB9" w:rsidP="009B04C8">
            <w:pPr>
              <w:ind w:left="360"/>
              <w:rPr>
                <w:b/>
                <w:bCs/>
                <w:lang w:val="en-CA"/>
              </w:rPr>
            </w:pPr>
          </w:p>
          <w:p w14:paraId="2145B973" w14:textId="77777777" w:rsidR="00621DB9" w:rsidRPr="00235EB0" w:rsidRDefault="00621DB9" w:rsidP="009B04C8">
            <w:pPr>
              <w:ind w:left="360"/>
              <w:rPr>
                <w:b/>
                <w:bCs/>
                <w:lang w:val="en-CA"/>
              </w:rPr>
            </w:pPr>
            <w:r w:rsidRPr="00235EB0">
              <w:rPr>
                <w:b/>
                <w:bCs/>
                <w:lang w:val="en-CA"/>
              </w:rPr>
              <w:t>Improved DL transmission efficiency and/or UE power consumption:</w:t>
            </w:r>
          </w:p>
          <w:p w14:paraId="0AE843A7" w14:textId="77777777" w:rsidR="00621DB9" w:rsidRPr="00235EB0" w:rsidRDefault="00621DB9" w:rsidP="00621DB9">
            <w:pPr>
              <w:numPr>
                <w:ilvl w:val="0"/>
                <w:numId w:val="33"/>
              </w:numPr>
              <w:ind w:left="1080"/>
              <w:rPr>
                <w:bCs/>
                <w:lang w:val="en-CA"/>
              </w:rPr>
            </w:pPr>
            <w:r w:rsidRPr="00235EB0">
              <w:rPr>
                <w:bCs/>
                <w:lang w:val="en-CA"/>
              </w:rPr>
              <w:t>Specify support for UE-group wake-up signal (WUS) [RAN1, RAN2, RAN4]</w:t>
            </w:r>
          </w:p>
          <w:p w14:paraId="0B780D1A" w14:textId="77777777" w:rsidR="00621DB9" w:rsidRPr="00235EB0" w:rsidRDefault="00621DB9" w:rsidP="009B04C8">
            <w:pPr>
              <w:rPr>
                <w:noProof/>
                <w:lang w:val="en-CA"/>
              </w:rPr>
            </w:pPr>
          </w:p>
        </w:tc>
      </w:tr>
    </w:tbl>
    <w:p w14:paraId="536C2B60" w14:textId="77777777" w:rsidR="00796C82" w:rsidRPr="006806D9" w:rsidRDefault="00796C82" w:rsidP="00796C82">
      <w:pPr>
        <w:rPr>
          <w:noProof/>
          <w:lang w:val="en-CA"/>
        </w:rPr>
      </w:pPr>
    </w:p>
    <w:p w14:paraId="77C8F09E" w14:textId="4C02E9AD" w:rsidR="00796C82" w:rsidRPr="006806D9" w:rsidRDefault="00BD2686" w:rsidP="00796C82">
      <w:pPr>
        <w:rPr>
          <w:rFonts w:ascii="Arial" w:hAnsi="Arial" w:cs="Arial"/>
          <w:noProof/>
          <w:lang w:val="en-CA"/>
        </w:rPr>
      </w:pPr>
      <w:r>
        <w:rPr>
          <w:rFonts w:ascii="Arial" w:hAnsi="Arial" w:cs="Arial"/>
          <w:noProof/>
          <w:sz w:val="20"/>
          <w:lang w:val="en-CA"/>
        </w:rPr>
        <w:t>So far</w:t>
      </w:r>
      <w:r w:rsidR="00796C82">
        <w:rPr>
          <w:rFonts w:ascii="Arial" w:hAnsi="Arial" w:cs="Arial"/>
          <w:noProof/>
          <w:sz w:val="20"/>
          <w:lang w:val="en-CA"/>
        </w:rPr>
        <w:t xml:space="preserve"> the following </w:t>
      </w:r>
      <w:r w:rsidR="005A4238">
        <w:rPr>
          <w:rFonts w:ascii="Arial" w:hAnsi="Arial" w:cs="Arial"/>
          <w:noProof/>
          <w:sz w:val="20"/>
          <w:lang w:val="en-CA"/>
        </w:rPr>
        <w:t>G</w:t>
      </w:r>
      <w:r w:rsidR="00A11E4C">
        <w:rPr>
          <w:rFonts w:ascii="Arial" w:hAnsi="Arial" w:cs="Arial"/>
          <w:noProof/>
          <w:sz w:val="20"/>
          <w:lang w:val="en-CA"/>
        </w:rPr>
        <w:t xml:space="preserve">WUS RAN1 </w:t>
      </w:r>
      <w:r w:rsidR="00796C82">
        <w:rPr>
          <w:rFonts w:ascii="Arial" w:hAnsi="Arial" w:cs="Arial"/>
          <w:noProof/>
          <w:sz w:val="20"/>
          <w:lang w:val="en-CA"/>
        </w:rPr>
        <w:t xml:space="preserve">agreements </w:t>
      </w:r>
      <w:r w:rsidR="00A11E4C">
        <w:rPr>
          <w:rFonts w:ascii="Arial" w:hAnsi="Arial" w:cs="Arial"/>
          <w:noProof/>
          <w:sz w:val="20"/>
          <w:lang w:val="en-CA"/>
        </w:rPr>
        <w:t xml:space="preserve">have been made </w:t>
      </w:r>
      <w:r w:rsidR="004154DB">
        <w:rPr>
          <w:rFonts w:ascii="Arial" w:hAnsi="Arial" w:cs="Arial"/>
          <w:noProof/>
          <w:sz w:val="20"/>
          <w:lang w:val="en-CA"/>
        </w:rPr>
        <w:t xml:space="preserve">that are </w:t>
      </w:r>
      <w:r w:rsidR="00796C82">
        <w:rPr>
          <w:rFonts w:ascii="Arial" w:hAnsi="Arial" w:cs="Arial"/>
          <w:noProof/>
          <w:sz w:val="20"/>
          <w:lang w:val="en-CA"/>
        </w:rPr>
        <w:t xml:space="preserve">relevant </w:t>
      </w:r>
      <w:r w:rsidR="00A11E4C">
        <w:rPr>
          <w:rFonts w:ascii="Arial" w:hAnsi="Arial" w:cs="Arial"/>
          <w:noProof/>
          <w:sz w:val="20"/>
          <w:lang w:val="en-CA"/>
        </w:rPr>
        <w:t>for</w:t>
      </w:r>
      <w:r w:rsidR="00796C82">
        <w:rPr>
          <w:rFonts w:ascii="Arial" w:hAnsi="Arial" w:cs="Arial"/>
          <w:noProof/>
          <w:sz w:val="20"/>
          <w:lang w:val="en-CA"/>
        </w:rPr>
        <w:t xml:space="preserve"> RAN2</w:t>
      </w:r>
      <w:r w:rsidR="00796C82" w:rsidRPr="006806D9">
        <w:rPr>
          <w:rFonts w:ascii="Arial" w:hAnsi="Arial" w:cs="Arial"/>
          <w:noProof/>
          <w:sz w:val="20"/>
          <w:lang w:val="en-CA"/>
        </w:rPr>
        <w:t>:</w:t>
      </w:r>
    </w:p>
    <w:tbl>
      <w:tblPr>
        <w:tblStyle w:val="TableGrid"/>
        <w:tblW w:w="0" w:type="auto"/>
        <w:tblLook w:val="04A0" w:firstRow="1" w:lastRow="0" w:firstColumn="1" w:lastColumn="0" w:noHBand="0" w:noVBand="1"/>
      </w:tblPr>
      <w:tblGrid>
        <w:gridCol w:w="9629"/>
      </w:tblGrid>
      <w:tr w:rsidR="00796C82" w:rsidRPr="00F53A11" w14:paraId="782CCA8F" w14:textId="77777777" w:rsidTr="002F22A8">
        <w:tc>
          <w:tcPr>
            <w:tcW w:w="9629" w:type="dxa"/>
          </w:tcPr>
          <w:p w14:paraId="5798CD91" w14:textId="77777777" w:rsidR="00E45BB8" w:rsidRPr="00FD178C" w:rsidRDefault="00E45BB8" w:rsidP="003B72F7">
            <w:pPr>
              <w:spacing w:after="0" w:line="240" w:lineRule="auto"/>
              <w:rPr>
                <w:rFonts w:ascii="Times" w:eastAsia="Batang" w:hAnsi="Times" w:cs="Times New Roman"/>
                <w:sz w:val="20"/>
                <w:szCs w:val="20"/>
                <w:lang w:val="en-GB" w:eastAsia="x-none"/>
              </w:rPr>
            </w:pPr>
          </w:p>
          <w:p w14:paraId="1C13183B" w14:textId="77777777" w:rsidR="00E45BB8" w:rsidRPr="00FD178C" w:rsidRDefault="00E45BB8" w:rsidP="00E45BB8">
            <w:pPr>
              <w:spacing w:after="0" w:line="240" w:lineRule="auto"/>
              <w:ind w:left="720" w:hanging="720"/>
              <w:rPr>
                <w:rFonts w:ascii="Times" w:eastAsia="Batang" w:hAnsi="Times" w:cs="Times New Roman"/>
                <w:b/>
                <w:sz w:val="20"/>
                <w:szCs w:val="20"/>
                <w:lang w:val="en-GB" w:eastAsia="x-none"/>
              </w:rPr>
            </w:pPr>
            <w:r w:rsidRPr="00FD178C">
              <w:rPr>
                <w:rFonts w:ascii="Times" w:eastAsia="Batang" w:hAnsi="Times" w:cs="Times New Roman"/>
                <w:b/>
                <w:sz w:val="20"/>
                <w:szCs w:val="20"/>
                <w:highlight w:val="green"/>
                <w:lang w:val="en-GB" w:eastAsia="x-none"/>
              </w:rPr>
              <w:t>Agreement</w:t>
            </w:r>
          </w:p>
          <w:p w14:paraId="23956022" w14:textId="77777777" w:rsidR="00E45BB8" w:rsidRPr="00FD178C" w:rsidRDefault="00E45BB8" w:rsidP="00E45BB8">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UE-group WUSs </w:t>
            </w:r>
            <w:proofErr w:type="gramStart"/>
            <w:r w:rsidRPr="00FD178C">
              <w:rPr>
                <w:rFonts w:ascii="Times" w:eastAsia="Batang" w:hAnsi="Times" w:cs="Times New Roman"/>
                <w:sz w:val="20"/>
                <w:szCs w:val="20"/>
                <w:lang w:val="en-GB" w:eastAsia="x-none"/>
              </w:rPr>
              <w:t>are</w:t>
            </w:r>
            <w:proofErr w:type="gramEnd"/>
            <w:r w:rsidRPr="00FD178C">
              <w:rPr>
                <w:rFonts w:ascii="Times" w:eastAsia="Batang" w:hAnsi="Times" w:cs="Times New Roman"/>
                <w:sz w:val="20"/>
                <w:szCs w:val="20"/>
                <w:lang w:val="en-GB" w:eastAsia="x-none"/>
              </w:rPr>
              <w:t xml:space="preserve"> only multiplexed in the same NB</w:t>
            </w:r>
            <w:r>
              <w:rPr>
                <w:rFonts w:ascii="Times" w:eastAsia="Batang" w:hAnsi="Times" w:cs="Times New Roman"/>
                <w:sz w:val="20"/>
                <w:szCs w:val="20"/>
                <w:lang w:val="en-GB" w:eastAsia="x-none"/>
              </w:rPr>
              <w:t>/carrier</w:t>
            </w:r>
            <w:r w:rsidRPr="00FD178C">
              <w:rPr>
                <w:rFonts w:ascii="Times" w:eastAsia="Batang" w:hAnsi="Times" w:cs="Times New Roman"/>
                <w:sz w:val="20"/>
                <w:szCs w:val="20"/>
                <w:lang w:val="en-GB" w:eastAsia="x-none"/>
              </w:rPr>
              <w:t xml:space="preserve"> as associated PO</w:t>
            </w:r>
          </w:p>
          <w:p w14:paraId="3495C3E1" w14:textId="77777777" w:rsidR="00E45BB8" w:rsidRPr="00FD178C" w:rsidRDefault="00E45BB8" w:rsidP="00E45BB8">
            <w:pPr>
              <w:numPr>
                <w:ilvl w:val="0"/>
                <w:numId w:val="45"/>
              </w:numPr>
              <w:spacing w:after="0" w:line="240" w:lineRule="auto"/>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FFS TDM/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FDM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 xml:space="preserve">/CDM for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FD178C">
              <w:rPr>
                <w:rFonts w:ascii="Times" w:eastAsia="Batang" w:hAnsi="Times" w:cs="Times New Roman"/>
                <w:sz w:val="20"/>
                <w:szCs w:val="20"/>
                <w:lang w:val="en-GB" w:eastAsia="x-none"/>
              </w:rPr>
              <w:t>WUS</w:t>
            </w:r>
            <w:proofErr w:type="gramEnd"/>
            <w:r w:rsidRPr="00FD178C">
              <w:rPr>
                <w:rFonts w:ascii="Times" w:eastAsia="Batang" w:hAnsi="Times" w:cs="Times New Roman"/>
                <w:sz w:val="20"/>
                <w:szCs w:val="20"/>
                <w:lang w:val="en-GB" w:eastAsia="x-none"/>
              </w:rPr>
              <w:t xml:space="preserve"> multiplexing</w:t>
            </w:r>
          </w:p>
          <w:p w14:paraId="70886C2C" w14:textId="77777777" w:rsidR="00E45BB8" w:rsidRPr="00FD178C" w:rsidRDefault="00E45BB8" w:rsidP="00E45BB8">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 </w:t>
            </w:r>
          </w:p>
          <w:p w14:paraId="3CAAC13B" w14:textId="77777777" w:rsidR="00E45BB8" w:rsidRPr="00FD178C" w:rsidRDefault="00E45BB8" w:rsidP="00E45BB8">
            <w:pPr>
              <w:suppressAutoHyphens/>
              <w:overflowPunct w:val="0"/>
              <w:autoSpaceDE w:val="0"/>
              <w:spacing w:after="0" w:line="240" w:lineRule="auto"/>
              <w:jc w:val="both"/>
              <w:rPr>
                <w:rFonts w:ascii="Times New Roman" w:eastAsia="Times New Roman" w:hAnsi="Times New Roman" w:cs="Times New Roman"/>
                <w:b/>
                <w:sz w:val="20"/>
                <w:szCs w:val="20"/>
                <w:lang w:val="en-GB" w:eastAsia="zh-CN"/>
              </w:rPr>
            </w:pPr>
            <w:r w:rsidRPr="00FD178C">
              <w:rPr>
                <w:rFonts w:ascii="Times New Roman" w:eastAsia="Times New Roman" w:hAnsi="Times New Roman" w:cs="Times New Roman"/>
                <w:b/>
                <w:sz w:val="20"/>
                <w:szCs w:val="20"/>
                <w:highlight w:val="green"/>
                <w:lang w:val="en-GB" w:eastAsia="zh-CN"/>
              </w:rPr>
              <w:t>Agreement</w:t>
            </w:r>
            <w:r w:rsidRPr="008B6E06">
              <w:rPr>
                <w:rFonts w:ascii="Times New Roman" w:eastAsia="Times New Roman" w:hAnsi="Times New Roman" w:cs="Times New Roman"/>
                <w:b/>
                <w:sz w:val="20"/>
                <w:szCs w:val="20"/>
                <w:lang w:val="en-GB" w:eastAsia="zh-CN"/>
              </w:rPr>
              <w:t xml:space="preserve"> </w:t>
            </w:r>
          </w:p>
          <w:p w14:paraId="7DC3C7FA" w14:textId="77777777" w:rsidR="00E45BB8" w:rsidRPr="0044765B" w:rsidRDefault="00E45BB8" w:rsidP="00E45BB8">
            <w:pPr>
              <w:numPr>
                <w:ilvl w:val="0"/>
                <w:numId w:val="46"/>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supported based on </w:t>
            </w:r>
            <w:proofErr w:type="spellStart"/>
            <w:r w:rsidRPr="0044765B">
              <w:rPr>
                <w:rFonts w:ascii="Times New Roman" w:eastAsia="Malgun Gothic" w:hAnsi="Times New Roman" w:cs="Times New Roman"/>
                <w:sz w:val="20"/>
                <w:szCs w:val="20"/>
                <w:lang w:val="en-CA" w:eastAsia="zh-CN"/>
              </w:rPr>
              <w:t>eNB’s</w:t>
            </w:r>
            <w:proofErr w:type="spellEnd"/>
            <w:r w:rsidRPr="0044765B">
              <w:rPr>
                <w:rFonts w:ascii="Times New Roman" w:eastAsia="Malgun Gothic" w:hAnsi="Times New Roman" w:cs="Times New Roman"/>
                <w:sz w:val="20"/>
                <w:szCs w:val="20"/>
                <w:lang w:val="en-CA" w:eastAsia="zh-CN"/>
              </w:rPr>
              <w:t xml:space="preserve"> and UE’s capability.</w:t>
            </w:r>
          </w:p>
          <w:p w14:paraId="5ADBAFF7" w14:textId="77777777" w:rsidR="00E45BB8" w:rsidRPr="0044765B" w:rsidRDefault="00E45BB8" w:rsidP="00E45BB8">
            <w:pPr>
              <w:numPr>
                <w:ilvl w:val="0"/>
                <w:numId w:val="46"/>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Whether the network supports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done by higher layer signalling.</w:t>
            </w:r>
          </w:p>
          <w:p w14:paraId="38FA712B" w14:textId="77777777" w:rsidR="00E45BB8" w:rsidRPr="0044765B" w:rsidRDefault="00E45BB8" w:rsidP="00E45BB8">
            <w:pPr>
              <w:numPr>
                <w:ilvl w:val="0"/>
                <w:numId w:val="46"/>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FFS: The number of UE groups is configured by SIB.</w:t>
            </w:r>
          </w:p>
          <w:p w14:paraId="7AD461AC" w14:textId="77777777" w:rsidR="00E45BB8" w:rsidRPr="0044765B" w:rsidRDefault="00E45BB8" w:rsidP="00E45BB8">
            <w:pPr>
              <w:numPr>
                <w:ilvl w:val="0"/>
                <w:numId w:val="46"/>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Note that the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UE optional</w:t>
            </w:r>
          </w:p>
          <w:p w14:paraId="0A47EF6A" w14:textId="77777777" w:rsidR="00E45BB8" w:rsidRPr="000F224C" w:rsidRDefault="00E45BB8" w:rsidP="00E45BB8">
            <w:pPr>
              <w:spacing w:after="0" w:line="240" w:lineRule="auto"/>
              <w:ind w:left="720" w:hanging="720"/>
              <w:rPr>
                <w:rFonts w:ascii="Times" w:eastAsia="Batang" w:hAnsi="Times" w:cs="Times New Roman"/>
                <w:sz w:val="20"/>
                <w:szCs w:val="24"/>
                <w:lang w:val="en-GB" w:eastAsia="x-none"/>
              </w:rPr>
            </w:pPr>
          </w:p>
          <w:p w14:paraId="04B86DDC" w14:textId="77777777" w:rsidR="00E45BB8" w:rsidRPr="000F224C"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0F224C">
              <w:rPr>
                <w:rFonts w:ascii="Times" w:eastAsia="Batang" w:hAnsi="Times" w:cs="Times New Roman"/>
                <w:b/>
                <w:sz w:val="20"/>
                <w:szCs w:val="24"/>
                <w:highlight w:val="green"/>
                <w:lang w:val="en-GB" w:eastAsia="x-none"/>
              </w:rPr>
              <w:t>Agreement</w:t>
            </w:r>
          </w:p>
          <w:p w14:paraId="325B34D0" w14:textId="77777777" w:rsidR="00E45BB8" w:rsidRPr="000F224C" w:rsidRDefault="00E45BB8" w:rsidP="00E45BB8">
            <w:pPr>
              <w:spacing w:after="0" w:line="240" w:lineRule="auto"/>
              <w:ind w:left="720" w:hanging="720"/>
              <w:rPr>
                <w:rFonts w:ascii="Times" w:eastAsia="Batang" w:hAnsi="Times" w:cs="Times New Roman"/>
                <w:sz w:val="20"/>
                <w:szCs w:val="24"/>
                <w:lang w:val="en-GB" w:eastAsia="x-none"/>
              </w:rPr>
            </w:pPr>
            <w:r w:rsidRPr="000F224C">
              <w:rPr>
                <w:rFonts w:ascii="Times" w:eastAsia="Batang" w:hAnsi="Times" w:cs="Times New Roman"/>
                <w:sz w:val="20"/>
                <w:szCs w:val="20"/>
                <w:lang w:val="en-GB"/>
              </w:rPr>
              <w:t>UE grouping is based on at least UE ID or some function of UE ID</w:t>
            </w:r>
          </w:p>
          <w:p w14:paraId="39887108" w14:textId="77777777" w:rsidR="00E45BB8" w:rsidRPr="000F224C" w:rsidRDefault="00E45BB8" w:rsidP="00E45BB8">
            <w:pPr>
              <w:spacing w:after="0" w:line="240" w:lineRule="auto"/>
              <w:rPr>
                <w:rFonts w:ascii="Times" w:eastAsia="Batang" w:hAnsi="Times" w:cs="Times New Roman"/>
                <w:sz w:val="20"/>
                <w:szCs w:val="40"/>
                <w:lang w:val="en-GB"/>
              </w:rPr>
            </w:pPr>
          </w:p>
          <w:p w14:paraId="426523DC" w14:textId="77777777" w:rsidR="00E45BB8" w:rsidRPr="000F224C" w:rsidRDefault="00E45BB8" w:rsidP="00E45BB8">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3D1D949A" w14:textId="77777777" w:rsidR="00E45BB8" w:rsidRPr="000F224C" w:rsidRDefault="00E45BB8" w:rsidP="00E45BB8">
            <w:pPr>
              <w:spacing w:after="0" w:line="240" w:lineRule="auto"/>
              <w:rPr>
                <w:rFonts w:ascii="Times" w:eastAsia="Batang" w:hAnsi="Times" w:cs="Times New Roman"/>
                <w:sz w:val="40"/>
                <w:szCs w:val="40"/>
                <w:lang w:val="en-GB"/>
              </w:rPr>
            </w:pPr>
            <w:r w:rsidRPr="000F224C">
              <w:rPr>
                <w:rFonts w:ascii="Times" w:eastAsia="Batang" w:hAnsi="Times" w:cs="Times New Roman"/>
                <w:sz w:val="20"/>
                <w:szCs w:val="24"/>
                <w:lang w:val="en-GB"/>
              </w:rPr>
              <w:t xml:space="preserve">Configuration of group WUS is at least </w:t>
            </w:r>
            <w:proofErr w:type="spellStart"/>
            <w:r w:rsidRPr="000F224C">
              <w:rPr>
                <w:rFonts w:ascii="Times" w:eastAsia="Batang" w:hAnsi="Times" w:cs="Times New Roman"/>
                <w:sz w:val="20"/>
                <w:szCs w:val="24"/>
                <w:lang w:val="en-GB"/>
              </w:rPr>
              <w:t>signaled</w:t>
            </w:r>
            <w:proofErr w:type="spellEnd"/>
            <w:r w:rsidRPr="000F224C">
              <w:rPr>
                <w:rFonts w:ascii="Times" w:eastAsia="Batang" w:hAnsi="Times" w:cs="Times New Roman"/>
                <w:sz w:val="20"/>
                <w:szCs w:val="24"/>
                <w:lang w:val="en-GB"/>
              </w:rPr>
              <w:t xml:space="preserve"> in SI</w:t>
            </w:r>
          </w:p>
          <w:p w14:paraId="32DA9E14" w14:textId="77777777" w:rsidR="00E45BB8" w:rsidRDefault="00E45BB8" w:rsidP="00E45BB8">
            <w:pPr>
              <w:spacing w:after="0" w:line="240" w:lineRule="auto"/>
              <w:rPr>
                <w:rFonts w:ascii="Times New Roman" w:eastAsia="Malgun Gothic" w:hAnsi="Times New Roman" w:cs="Times New Roman"/>
                <w:sz w:val="20"/>
                <w:szCs w:val="20"/>
                <w:lang w:val="en-GB" w:eastAsia="zh-CN"/>
              </w:rPr>
            </w:pPr>
          </w:p>
          <w:p w14:paraId="07EF3FB5" w14:textId="77777777" w:rsidR="00E45BB8" w:rsidRPr="000F224C" w:rsidRDefault="00E45BB8" w:rsidP="00E45BB8">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006BBF73" w14:textId="77777777" w:rsidR="00E45BB8" w:rsidRDefault="00E45BB8" w:rsidP="00E45BB8">
            <w:pPr>
              <w:spacing w:after="0" w:line="240" w:lineRule="auto"/>
              <w:rPr>
                <w:rFonts w:ascii="Times New Roman" w:eastAsia="Malgun Gothic" w:hAnsi="Times New Roman" w:cs="Times New Roman"/>
                <w:sz w:val="20"/>
                <w:szCs w:val="20"/>
                <w:lang w:val="en-GB" w:eastAsia="zh-CN"/>
              </w:rPr>
            </w:pPr>
            <w:r w:rsidRPr="000F224C">
              <w:rPr>
                <w:rFonts w:ascii="Times New Roman" w:eastAsia="Malgun Gothic" w:hAnsi="Times New Roman" w:cs="Times New Roman"/>
                <w:sz w:val="20"/>
                <w:szCs w:val="20"/>
                <w:lang w:val="en-GB" w:eastAsia="zh-CN"/>
              </w:rPr>
              <w:t>A Rel-16 group WUS capable UE shall also be capable of Rel-15 legacy WUS</w:t>
            </w:r>
          </w:p>
          <w:p w14:paraId="4761F0AE" w14:textId="77777777" w:rsidR="00E45BB8" w:rsidRPr="0077176C" w:rsidRDefault="00E45BB8" w:rsidP="00E45BB8">
            <w:pPr>
              <w:spacing w:after="0" w:line="240" w:lineRule="auto"/>
              <w:rPr>
                <w:rFonts w:ascii="Times" w:eastAsia="Batang" w:hAnsi="Times" w:cs="Times New Roman"/>
                <w:sz w:val="20"/>
                <w:szCs w:val="24"/>
                <w:lang w:val="en-GB" w:eastAsia="x-none"/>
              </w:rPr>
            </w:pPr>
          </w:p>
          <w:p w14:paraId="135B187B" w14:textId="77777777" w:rsidR="00E45BB8" w:rsidRPr="0077176C" w:rsidRDefault="00E45BB8" w:rsidP="00E45BB8">
            <w:pPr>
              <w:spacing w:after="0" w:line="240" w:lineRule="auto"/>
              <w:ind w:left="720" w:hanging="720"/>
              <w:rPr>
                <w:rFonts w:ascii="Times" w:eastAsia="Batang" w:hAnsi="Times" w:cs="Times New Roman"/>
                <w:b/>
                <w:sz w:val="20"/>
                <w:szCs w:val="24"/>
                <w:lang w:val="en-GB" w:eastAsia="x-none"/>
              </w:rPr>
            </w:pPr>
            <w:r w:rsidRPr="0077176C">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w:t>
            </w:r>
          </w:p>
          <w:p w14:paraId="28C6F549" w14:textId="77777777" w:rsidR="00E45BB8" w:rsidRPr="0077176C" w:rsidRDefault="00E45BB8" w:rsidP="00E45BB8">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The number of UE groups is configurable and broadcasted in SIB.</w:t>
            </w:r>
          </w:p>
          <w:p w14:paraId="73BCB9BF" w14:textId="77777777" w:rsidR="00E45BB8" w:rsidRPr="0077176C" w:rsidRDefault="00E45BB8" w:rsidP="00E45BB8">
            <w:pPr>
              <w:numPr>
                <w:ilvl w:val="0"/>
                <w:numId w:val="46"/>
              </w:numPr>
              <w:spacing w:after="0" w:line="240" w:lineRule="auto"/>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FFS: Further details on the number of UE groups. For example, whether it is per PO or per gap configuration of a PO</w:t>
            </w:r>
          </w:p>
          <w:p w14:paraId="2A2ED87D" w14:textId="00E760DA" w:rsidR="00E45BB8" w:rsidRDefault="00E45BB8" w:rsidP="00E45BB8">
            <w:pPr>
              <w:spacing w:after="0" w:line="240" w:lineRule="auto"/>
              <w:ind w:left="720" w:hanging="720"/>
              <w:rPr>
                <w:rFonts w:ascii="Times" w:eastAsia="Batang" w:hAnsi="Times" w:cs="Times New Roman"/>
                <w:sz w:val="20"/>
                <w:szCs w:val="24"/>
                <w:lang w:val="en-GB" w:eastAsia="x-none"/>
              </w:rPr>
            </w:pPr>
          </w:p>
          <w:p w14:paraId="477B29B1" w14:textId="77777777" w:rsidR="00617509" w:rsidRPr="0077176C" w:rsidRDefault="00617509" w:rsidP="00E45BB8">
            <w:pPr>
              <w:spacing w:after="0" w:line="240" w:lineRule="auto"/>
              <w:ind w:left="720" w:hanging="720"/>
              <w:rPr>
                <w:rFonts w:ascii="Times" w:eastAsia="Batang" w:hAnsi="Times" w:cs="Times New Roman"/>
                <w:sz w:val="20"/>
                <w:szCs w:val="24"/>
                <w:lang w:val="en-GB" w:eastAsia="x-none"/>
              </w:rPr>
            </w:pPr>
          </w:p>
          <w:p w14:paraId="6233EFE0" w14:textId="77777777" w:rsidR="00E45BB8" w:rsidRPr="0077176C"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77176C">
              <w:rPr>
                <w:rFonts w:ascii="Times" w:eastAsia="Batang" w:hAnsi="Times" w:cs="Times New Roman"/>
                <w:b/>
                <w:sz w:val="20"/>
                <w:szCs w:val="24"/>
                <w:highlight w:val="green"/>
                <w:lang w:val="en-GB" w:eastAsia="x-none"/>
              </w:rPr>
              <w:t>Agreement</w:t>
            </w:r>
          </w:p>
          <w:p w14:paraId="7D86549D" w14:textId="77777777" w:rsidR="00E45BB8" w:rsidRPr="0077176C" w:rsidRDefault="00E45BB8" w:rsidP="00E45BB8">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UE group ID is used as a parameter to generate WUS UE group sequence(s).</w:t>
            </w:r>
          </w:p>
          <w:p w14:paraId="00681080" w14:textId="77777777" w:rsidR="00E45BB8" w:rsidRPr="00F40738" w:rsidRDefault="00E45BB8" w:rsidP="00E45BB8">
            <w:pPr>
              <w:spacing w:after="0" w:line="240" w:lineRule="auto"/>
              <w:rPr>
                <w:rFonts w:ascii="Times" w:eastAsia="Batang" w:hAnsi="Times" w:cs="Times New Roman"/>
                <w:sz w:val="20"/>
                <w:szCs w:val="24"/>
                <w:lang w:val="en-GB" w:eastAsia="x-none"/>
              </w:rPr>
            </w:pPr>
          </w:p>
          <w:p w14:paraId="334DA4A4" w14:textId="77777777" w:rsidR="00E45BB8" w:rsidRPr="00F40738"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Batang" w:hAnsi="Times New Roman" w:cs="Times New Roman"/>
                <w:b/>
                <w:sz w:val="20"/>
                <w:szCs w:val="24"/>
                <w:highlight w:val="green"/>
                <w:lang w:val="en-GB" w:eastAsia="x-none"/>
              </w:rPr>
              <w:t>Agreement</w:t>
            </w:r>
          </w:p>
          <w:p w14:paraId="44B1EC83" w14:textId="77777777" w:rsidR="00E45BB8" w:rsidRPr="0044765B" w:rsidRDefault="00E45BB8" w:rsidP="00E45BB8">
            <w:pPr>
              <w:numPr>
                <w:ilvl w:val="0"/>
                <w:numId w:val="43"/>
              </w:numPr>
              <w:spacing w:after="0" w:line="240" w:lineRule="auto"/>
              <w:rPr>
                <w:rFonts w:ascii="Times New Roman" w:eastAsia="Times New Roman" w:hAnsi="Times New Roman" w:cs="Times New Roman"/>
                <w:sz w:val="20"/>
                <w:szCs w:val="20"/>
                <w:lang w:val="en-CA" w:eastAsia="x-none"/>
              </w:rPr>
            </w:pPr>
            <w:r w:rsidRPr="0044765B">
              <w:rPr>
                <w:rFonts w:ascii="Times New Roman" w:eastAsia="Times New Roman" w:hAnsi="Times New Roman" w:cs="Times New Roman"/>
                <w:sz w:val="20"/>
                <w:szCs w:val="20"/>
                <w:lang w:val="en-CA" w:eastAsia="x-none"/>
              </w:rPr>
              <w:t>A UE is required to monitor WUS(s) in only one WUS (time/frequency) resource location.</w:t>
            </w:r>
          </w:p>
          <w:p w14:paraId="1E29FC82" w14:textId="77777777" w:rsidR="00E45BB8" w:rsidRPr="00F40738" w:rsidRDefault="00E45BB8" w:rsidP="00E45BB8">
            <w:pPr>
              <w:spacing w:after="0" w:line="240" w:lineRule="auto"/>
              <w:rPr>
                <w:rFonts w:ascii="Times" w:eastAsia="Batang" w:hAnsi="Times" w:cs="Times New Roman"/>
                <w:sz w:val="20"/>
                <w:szCs w:val="24"/>
                <w:lang w:val="en-GB" w:eastAsia="x-none"/>
              </w:rPr>
            </w:pPr>
          </w:p>
          <w:p w14:paraId="4BC8B8FB" w14:textId="77777777" w:rsidR="00E45BB8" w:rsidRPr="00F40738"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Times New Roman" w:hAnsi="Times New Roman" w:cs="Times New Roman"/>
                <w:b/>
                <w:sz w:val="20"/>
                <w:szCs w:val="20"/>
                <w:highlight w:val="green"/>
                <w:lang w:val="en-GB"/>
              </w:rPr>
              <w:t>Agreement</w:t>
            </w:r>
          </w:p>
          <w:p w14:paraId="6E6D4009" w14:textId="77777777" w:rsidR="00E45BB8" w:rsidRPr="00F40738" w:rsidRDefault="00E45BB8" w:rsidP="00E45BB8">
            <w:pPr>
              <w:spacing w:after="0" w:line="240" w:lineRule="auto"/>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03E84B7" w14:textId="77777777" w:rsidR="00E45BB8" w:rsidRDefault="00E45BB8" w:rsidP="00E45BB8">
            <w:pPr>
              <w:numPr>
                <w:ilvl w:val="0"/>
                <w:numId w:val="43"/>
              </w:numPr>
              <w:spacing w:after="0" w:line="240" w:lineRule="auto"/>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156ECDB0" w14:textId="77777777" w:rsidR="00796C82" w:rsidRDefault="00E45BB8" w:rsidP="00AB1A25">
            <w:pPr>
              <w:numPr>
                <w:ilvl w:val="0"/>
                <w:numId w:val="43"/>
              </w:numPr>
              <w:spacing w:after="0" w:line="240" w:lineRule="auto"/>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416C70B6" w14:textId="524E0050" w:rsidR="003B72F7" w:rsidRPr="003B72F7" w:rsidRDefault="003B72F7" w:rsidP="003B72F7">
            <w:pPr>
              <w:spacing w:after="0" w:line="240" w:lineRule="auto"/>
              <w:ind w:left="720"/>
              <w:rPr>
                <w:rFonts w:ascii="Times New Roman" w:eastAsia="Times New Roman" w:hAnsi="Times New Roman" w:cs="Times New Roman"/>
                <w:sz w:val="20"/>
                <w:szCs w:val="20"/>
                <w:lang w:val="en-GB"/>
              </w:rPr>
            </w:pPr>
          </w:p>
        </w:tc>
      </w:tr>
    </w:tbl>
    <w:p w14:paraId="6CEA5BAB" w14:textId="77777777" w:rsidR="00796C82" w:rsidRPr="0044765B" w:rsidRDefault="00796C82" w:rsidP="00796C82">
      <w:pPr>
        <w:pStyle w:val="BodyText"/>
        <w:rPr>
          <w:noProof/>
          <w:lang w:val="en-CA"/>
        </w:rPr>
      </w:pPr>
    </w:p>
    <w:p w14:paraId="75CBB371" w14:textId="501DC304" w:rsidR="00796C82" w:rsidRPr="00A11E4C" w:rsidRDefault="00A11E4C" w:rsidP="00A11E4C">
      <w:pPr>
        <w:rPr>
          <w:rFonts w:ascii="Arial" w:hAnsi="Arial" w:cs="Arial"/>
          <w:noProof/>
          <w:lang w:val="en-CA"/>
        </w:rPr>
      </w:pPr>
      <w:r>
        <w:rPr>
          <w:rFonts w:ascii="Arial" w:hAnsi="Arial" w:cs="Arial"/>
          <w:noProof/>
          <w:sz w:val="20"/>
          <w:lang w:val="en-CA"/>
        </w:rPr>
        <w:t xml:space="preserve">So far the following </w:t>
      </w:r>
      <w:r w:rsidR="005A4238">
        <w:rPr>
          <w:rFonts w:ascii="Arial" w:hAnsi="Arial" w:cs="Arial"/>
          <w:noProof/>
          <w:sz w:val="20"/>
          <w:lang w:val="en-CA"/>
        </w:rPr>
        <w:t>G</w:t>
      </w:r>
      <w:r>
        <w:rPr>
          <w:rFonts w:ascii="Arial" w:hAnsi="Arial" w:cs="Arial"/>
          <w:noProof/>
          <w:sz w:val="20"/>
          <w:lang w:val="en-CA"/>
        </w:rPr>
        <w:t>WUS RAN2 agreements have been made</w:t>
      </w:r>
      <w:r w:rsidR="00796C82" w:rsidRPr="00F06F68">
        <w:rPr>
          <w:noProof/>
          <w:sz w:val="20"/>
          <w:lang w:val="en-CA"/>
        </w:rPr>
        <w:t>:</w:t>
      </w:r>
    </w:p>
    <w:tbl>
      <w:tblPr>
        <w:tblStyle w:val="TableGrid"/>
        <w:tblW w:w="0" w:type="auto"/>
        <w:tblLook w:val="04A0" w:firstRow="1" w:lastRow="0" w:firstColumn="1" w:lastColumn="0" w:noHBand="0" w:noVBand="1"/>
      </w:tblPr>
      <w:tblGrid>
        <w:gridCol w:w="9629"/>
      </w:tblGrid>
      <w:tr w:rsidR="00796C82" w:rsidRPr="00E45BB8" w14:paraId="6E2C3D07" w14:textId="77777777" w:rsidTr="002F22A8">
        <w:tc>
          <w:tcPr>
            <w:tcW w:w="9629" w:type="dxa"/>
          </w:tcPr>
          <w:p w14:paraId="22AFEDDD" w14:textId="77777777" w:rsidR="00796C82" w:rsidRPr="007B2AB2" w:rsidRDefault="00796C82" w:rsidP="002F22A8">
            <w:pPr>
              <w:pStyle w:val="BodyText"/>
              <w:rPr>
                <w:noProof/>
                <w:sz w:val="2"/>
                <w:lang w:val="en-CA"/>
              </w:rPr>
            </w:pPr>
          </w:p>
          <w:p w14:paraId="1DCEA5D5" w14:textId="77777777" w:rsidR="00BC2867" w:rsidRPr="00A92FEB" w:rsidRDefault="00BC2867" w:rsidP="00BC2867">
            <w:pPr>
              <w:spacing w:after="0"/>
              <w:rPr>
                <w:rFonts w:ascii="Times New Roman" w:eastAsia="MS Mincho" w:hAnsi="Times New Roman" w:cs="Times New Roman"/>
                <w:sz w:val="20"/>
                <w:szCs w:val="20"/>
                <w:lang w:eastAsia="ja-JP"/>
              </w:rPr>
            </w:pPr>
            <w:r w:rsidRPr="00A92FEB">
              <w:rPr>
                <w:rFonts w:ascii="Times New Roman" w:eastAsia="MS Mincho" w:hAnsi="Times New Roman" w:cs="Times New Roman"/>
                <w:sz w:val="20"/>
                <w:szCs w:val="20"/>
                <w:highlight w:val="green"/>
                <w:lang w:eastAsia="ja-JP"/>
              </w:rPr>
              <w:t>RAN2#103bis agreements:</w:t>
            </w:r>
          </w:p>
          <w:p w14:paraId="1BBCA416"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The aim of UE grouping for WUS is reducing the false alarm probability.</w:t>
            </w:r>
          </w:p>
          <w:p w14:paraId="2EEFB350" w14:textId="77777777" w:rsidR="00BC2867" w:rsidRPr="00A92FEB" w:rsidRDefault="00BC2867" w:rsidP="00BC2867">
            <w:pPr>
              <w:pStyle w:val="Agreement"/>
              <w:spacing w:before="0" w:after="0" w:line="240" w:lineRule="auto"/>
              <w:rPr>
                <w:rFonts w:ascii="Times New Roman" w:hAnsi="Times New Roman" w:cs="Times New Roman"/>
                <w:b w:val="0"/>
                <w:sz w:val="20"/>
                <w:szCs w:val="20"/>
              </w:rPr>
            </w:pPr>
            <w:r w:rsidRPr="0044765B">
              <w:rPr>
                <w:rFonts w:ascii="Times New Roman" w:hAnsi="Times New Roman" w:cs="Times New Roman"/>
                <w:b w:val="0"/>
                <w:sz w:val="20"/>
                <w:szCs w:val="20"/>
                <w:lang w:val="en-CA"/>
              </w:rPr>
              <w:t xml:space="preserve">At least UE_ID based grouping is supported for UE-Group based WUS. </w:t>
            </w:r>
            <w:r w:rsidRPr="00A92FEB">
              <w:rPr>
                <w:rFonts w:ascii="Times New Roman" w:hAnsi="Times New Roman" w:cs="Times New Roman"/>
                <w:b w:val="0"/>
                <w:sz w:val="20"/>
                <w:szCs w:val="20"/>
              </w:rPr>
              <w:t>This doesn’t exclude other options.</w:t>
            </w:r>
          </w:p>
          <w:p w14:paraId="3CBEDD4D"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Further discuss whether the following are supported:</w:t>
            </w:r>
          </w:p>
          <w:p w14:paraId="013CB9A1" w14:textId="77777777" w:rsidR="00BC2867" w:rsidRPr="00A92FEB" w:rsidRDefault="00BC2867" w:rsidP="00BC2867">
            <w:pPr>
              <w:pStyle w:val="Agreement"/>
              <w:numPr>
                <w:ilvl w:val="2"/>
                <w:numId w:val="28"/>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Service based grouping </w:t>
            </w:r>
          </w:p>
          <w:p w14:paraId="11AA031F" w14:textId="77777777" w:rsidR="00BC2867" w:rsidRPr="00A92FEB" w:rsidRDefault="00BC2867" w:rsidP="00BC2867">
            <w:pPr>
              <w:pStyle w:val="Agreement"/>
              <w:numPr>
                <w:ilvl w:val="2"/>
                <w:numId w:val="28"/>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DRX/eDRX based grouping </w:t>
            </w:r>
          </w:p>
          <w:p w14:paraId="4246877E" w14:textId="77777777" w:rsidR="00BC2867" w:rsidRPr="00A92FEB" w:rsidRDefault="00BC2867" w:rsidP="00BC2867">
            <w:pPr>
              <w:pStyle w:val="Agreement"/>
              <w:numPr>
                <w:ilvl w:val="2"/>
                <w:numId w:val="28"/>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Gap based grouping. </w:t>
            </w:r>
          </w:p>
          <w:p w14:paraId="26C8B9D7" w14:textId="77777777" w:rsidR="00BC2867" w:rsidRPr="00A92FEB" w:rsidRDefault="00BC2867" w:rsidP="00BC2867">
            <w:pPr>
              <w:pStyle w:val="Agreement"/>
              <w:numPr>
                <w:ilvl w:val="2"/>
                <w:numId w:val="28"/>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Coverage based grouping</w:t>
            </w:r>
          </w:p>
          <w:p w14:paraId="7D8E2CCB" w14:textId="77777777" w:rsidR="00BC2867" w:rsidRPr="00A92FEB" w:rsidRDefault="00BC2867" w:rsidP="00BC2867">
            <w:pPr>
              <w:spacing w:after="0"/>
              <w:rPr>
                <w:rFonts w:ascii="Times New Roman" w:eastAsia="MS Mincho" w:hAnsi="Times New Roman" w:cs="Times New Roman"/>
                <w:sz w:val="20"/>
                <w:szCs w:val="20"/>
                <w:highlight w:val="green"/>
                <w:lang w:eastAsia="ja-JP"/>
              </w:rPr>
            </w:pPr>
          </w:p>
          <w:p w14:paraId="525950B8" w14:textId="77777777" w:rsidR="00BC2867" w:rsidRPr="00A92FEB" w:rsidRDefault="00BC2867" w:rsidP="00BC2867">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RAN2#104 agreements:</w:t>
            </w:r>
          </w:p>
          <w:p w14:paraId="477A8F1D"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 xml:space="preserve">Further discuss the benefit and feasibility of using </w:t>
            </w:r>
            <w:proofErr w:type="gramStart"/>
            <w:r w:rsidRPr="0044765B">
              <w:rPr>
                <w:rFonts w:ascii="Times New Roman" w:hAnsi="Times New Roman" w:cs="Times New Roman"/>
                <w:b w:val="0"/>
                <w:sz w:val="20"/>
                <w:szCs w:val="20"/>
                <w:lang w:val="en-CA"/>
              </w:rPr>
              <w:t>service based</w:t>
            </w:r>
            <w:proofErr w:type="gramEnd"/>
            <w:r w:rsidRPr="0044765B">
              <w:rPr>
                <w:rFonts w:ascii="Times New Roman" w:hAnsi="Times New Roman" w:cs="Times New Roman"/>
                <w:b w:val="0"/>
                <w:sz w:val="20"/>
                <w:szCs w:val="20"/>
                <w:lang w:val="en-CA"/>
              </w:rPr>
              <w:t xml:space="preserve"> parameters for grouping in addition to UE-ID.</w:t>
            </w:r>
          </w:p>
          <w:p w14:paraId="43D1376F"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eastAsia="en-US"/>
              </w:rPr>
            </w:pPr>
            <w:r w:rsidRPr="0044765B">
              <w:rPr>
                <w:rFonts w:ascii="Times New Roman" w:hAnsi="Times New Roman" w:cs="Times New Roman"/>
                <w:b w:val="0"/>
                <w:sz w:val="20"/>
                <w:szCs w:val="20"/>
                <w:lang w:val="en-CA" w:eastAsia="en-US"/>
              </w:rPr>
              <w:t xml:space="preserve">Can discuss group distribution further, including Rel-15/16 mechanism interaction, once we know more about number of groups and more about the grouping solution (e.g. </w:t>
            </w:r>
            <w:proofErr w:type="gramStart"/>
            <w:r w:rsidRPr="0044765B">
              <w:rPr>
                <w:rFonts w:ascii="Times New Roman" w:hAnsi="Times New Roman" w:cs="Times New Roman"/>
                <w:b w:val="0"/>
                <w:sz w:val="20"/>
                <w:szCs w:val="20"/>
                <w:lang w:val="en-CA" w:eastAsia="en-US"/>
              </w:rPr>
              <w:t>service based</w:t>
            </w:r>
            <w:proofErr w:type="gramEnd"/>
            <w:r w:rsidRPr="0044765B">
              <w:rPr>
                <w:rFonts w:ascii="Times New Roman" w:hAnsi="Times New Roman" w:cs="Times New Roman"/>
                <w:b w:val="0"/>
                <w:sz w:val="20"/>
                <w:szCs w:val="20"/>
                <w:lang w:val="en-CA" w:eastAsia="en-US"/>
              </w:rPr>
              <w:t xml:space="preserve"> parameters).</w:t>
            </w:r>
          </w:p>
          <w:p w14:paraId="4C486661"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RAN2 will decide on the UE to WUS group mapping.</w:t>
            </w:r>
          </w:p>
          <w:p w14:paraId="108C74E7" w14:textId="77777777" w:rsidR="00BC2867" w:rsidRPr="0044765B" w:rsidRDefault="00BC2867" w:rsidP="00BC2867">
            <w:pPr>
              <w:spacing w:after="0"/>
              <w:rPr>
                <w:rFonts w:ascii="Times New Roman" w:eastAsia="MS Mincho" w:hAnsi="Times New Roman" w:cs="Times New Roman"/>
                <w:sz w:val="20"/>
                <w:szCs w:val="20"/>
                <w:highlight w:val="green"/>
                <w:lang w:val="en-CA" w:eastAsia="ja-JP"/>
              </w:rPr>
            </w:pPr>
          </w:p>
          <w:p w14:paraId="776D7757" w14:textId="77777777" w:rsidR="00BC2867" w:rsidRPr="00A92FEB" w:rsidRDefault="00BC2867" w:rsidP="00BC2867">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 agreements:</w:t>
            </w:r>
          </w:p>
          <w:p w14:paraId="3D883200"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Feasibility of the solution based on the following attributes for deriving the service-type for GWUS can be studied further:</w:t>
            </w:r>
          </w:p>
          <w:p w14:paraId="2CF30B55" w14:textId="77777777" w:rsidR="00BC2867" w:rsidRPr="00A92FEB" w:rsidRDefault="00BC2867" w:rsidP="00BC2867">
            <w:pPr>
              <w:pStyle w:val="Agreement"/>
              <w:numPr>
                <w:ilvl w:val="2"/>
                <w:numId w:val="28"/>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Paging Probability</w:t>
            </w:r>
          </w:p>
          <w:p w14:paraId="5B9E97A3" w14:textId="5C5D3184" w:rsidR="00BC2867" w:rsidRPr="00BC2867" w:rsidRDefault="00BC2867" w:rsidP="00BD2686">
            <w:pPr>
              <w:pStyle w:val="Agreement"/>
              <w:numPr>
                <w:ilvl w:val="2"/>
                <w:numId w:val="28"/>
              </w:numPr>
              <w:spacing w:before="0" w:after="120" w:line="240" w:lineRule="auto"/>
              <w:ind w:left="2154" w:hanging="357"/>
              <w:rPr>
                <w:rFonts w:ascii="Times New Roman" w:hAnsi="Times New Roman" w:cs="Times New Roman"/>
                <w:b w:val="0"/>
                <w:sz w:val="20"/>
                <w:szCs w:val="20"/>
              </w:rPr>
            </w:pPr>
            <w:r w:rsidRPr="00A92FEB">
              <w:rPr>
                <w:rFonts w:ascii="Times New Roman" w:hAnsi="Times New Roman" w:cs="Times New Roman"/>
                <w:b w:val="0"/>
                <w:sz w:val="20"/>
                <w:szCs w:val="20"/>
              </w:rPr>
              <w:t>Mobility.</w:t>
            </w:r>
          </w:p>
        </w:tc>
      </w:tr>
    </w:tbl>
    <w:p w14:paraId="2D1688A8" w14:textId="77777777" w:rsidR="00796C82" w:rsidRPr="007B2AB2" w:rsidRDefault="00796C82" w:rsidP="00621DB9">
      <w:pPr>
        <w:pStyle w:val="BodyText"/>
        <w:rPr>
          <w:noProof/>
          <w:sz w:val="20"/>
          <w:lang w:val="en-CA"/>
        </w:rPr>
      </w:pPr>
    </w:p>
    <w:p w14:paraId="2A721032" w14:textId="62D21D7A" w:rsidR="00477768" w:rsidRPr="00235EB0" w:rsidRDefault="00621DB9" w:rsidP="00621DB9">
      <w:pPr>
        <w:pStyle w:val="BodyText"/>
        <w:rPr>
          <w:lang w:val="en-CA"/>
        </w:rPr>
      </w:pPr>
      <w:r w:rsidRPr="00235EB0">
        <w:rPr>
          <w:noProof/>
          <w:sz w:val="20"/>
          <w:lang w:val="en-CA"/>
        </w:rPr>
        <w:t xml:space="preserve">In this contribution we discuss RAN2 </w:t>
      </w:r>
      <w:r w:rsidR="004F17BB">
        <w:rPr>
          <w:noProof/>
          <w:sz w:val="20"/>
          <w:lang w:val="en-CA"/>
        </w:rPr>
        <w:t xml:space="preserve">related </w:t>
      </w:r>
      <w:r w:rsidR="00A36B5D" w:rsidRPr="00235EB0">
        <w:rPr>
          <w:noProof/>
          <w:sz w:val="20"/>
          <w:lang w:val="en-CA"/>
        </w:rPr>
        <w:t>general a</w:t>
      </w:r>
      <w:r w:rsidRPr="00235EB0">
        <w:rPr>
          <w:noProof/>
          <w:sz w:val="20"/>
          <w:lang w:val="en-CA"/>
        </w:rPr>
        <w:t>spects of</w:t>
      </w:r>
      <w:r w:rsidR="00685FA8" w:rsidRPr="00235EB0">
        <w:rPr>
          <w:noProof/>
          <w:sz w:val="20"/>
          <w:lang w:val="en-CA"/>
        </w:rPr>
        <w:t xml:space="preserve"> </w:t>
      </w:r>
      <w:r w:rsidR="00CB4EAE" w:rsidRPr="00235EB0">
        <w:rPr>
          <w:noProof/>
          <w:sz w:val="20"/>
          <w:lang w:val="en-CA"/>
        </w:rPr>
        <w:t>WUS grou</w:t>
      </w:r>
      <w:r w:rsidR="00A36B5D" w:rsidRPr="00235EB0">
        <w:rPr>
          <w:noProof/>
          <w:sz w:val="20"/>
          <w:lang w:val="en-CA"/>
        </w:rPr>
        <w:t>p</w:t>
      </w:r>
      <w:r w:rsidR="005E01BC" w:rsidRPr="00235EB0">
        <w:rPr>
          <w:noProof/>
          <w:sz w:val="20"/>
          <w:lang w:val="en-CA"/>
        </w:rPr>
        <w:t>s</w:t>
      </w:r>
      <w:r w:rsidR="00F73BB9">
        <w:rPr>
          <w:noProof/>
          <w:sz w:val="20"/>
          <w:lang w:val="en-CA"/>
        </w:rPr>
        <w:t xml:space="preserve"> related to service </w:t>
      </w:r>
      <w:r w:rsidR="00A10AE1">
        <w:rPr>
          <w:noProof/>
          <w:sz w:val="20"/>
          <w:lang w:val="en-CA"/>
        </w:rPr>
        <w:t>based groups</w:t>
      </w:r>
      <w:r w:rsidRPr="00235EB0">
        <w:rPr>
          <w:noProof/>
          <w:sz w:val="20"/>
          <w:lang w:val="en-CA"/>
        </w:rPr>
        <w:t xml:space="preserve">. </w:t>
      </w:r>
    </w:p>
    <w:p w14:paraId="4EE6AC46" w14:textId="791BE1B6" w:rsidR="003C3AC2" w:rsidRPr="00585A27" w:rsidRDefault="00136182" w:rsidP="00585A27">
      <w:pPr>
        <w:pStyle w:val="Heading1"/>
      </w:pPr>
      <w:bookmarkStart w:id="4" w:name="_Ref178064866"/>
      <w:r>
        <w:t>2</w:t>
      </w:r>
      <w:r w:rsidR="00230D18">
        <w:tab/>
      </w:r>
      <w:r w:rsidR="004000E8" w:rsidRPr="00CE0424">
        <w:t>Discussion</w:t>
      </w:r>
      <w:bookmarkEnd w:id="4"/>
    </w:p>
    <w:p w14:paraId="074FCF77" w14:textId="7B92AFD1" w:rsidR="008E7053" w:rsidRPr="001F15BD" w:rsidRDefault="008E7053" w:rsidP="008E7053">
      <w:pPr>
        <w:pStyle w:val="Heading2"/>
        <w:rPr>
          <w:lang w:val="en-US"/>
        </w:rPr>
      </w:pPr>
      <w:r>
        <w:rPr>
          <w:lang w:val="en-US"/>
        </w:rPr>
        <w:t>2.</w:t>
      </w:r>
      <w:r w:rsidR="00585A27">
        <w:rPr>
          <w:lang w:val="en-US"/>
        </w:rPr>
        <w:t>1</w:t>
      </w:r>
      <w:r>
        <w:rPr>
          <w:lang w:val="en-US"/>
        </w:rPr>
        <w:tab/>
      </w:r>
      <w:r w:rsidR="004A41B9">
        <w:rPr>
          <w:lang w:val="en-US"/>
        </w:rPr>
        <w:t>Mobility aspect</w:t>
      </w:r>
      <w:r>
        <w:rPr>
          <w:lang w:val="en-US"/>
        </w:rPr>
        <w:t xml:space="preserve"> for UE </w:t>
      </w:r>
      <w:r w:rsidR="0052366F">
        <w:rPr>
          <w:lang w:val="en-US"/>
        </w:rPr>
        <w:t xml:space="preserve">to WUS </w:t>
      </w:r>
      <w:r>
        <w:rPr>
          <w:lang w:val="en-US"/>
        </w:rPr>
        <w:t>group</w:t>
      </w:r>
      <w:r w:rsidR="0052366F">
        <w:rPr>
          <w:lang w:val="en-US"/>
        </w:rPr>
        <w:t xml:space="preserve"> mapp</w:t>
      </w:r>
      <w:r>
        <w:rPr>
          <w:lang w:val="en-US"/>
        </w:rPr>
        <w:t>ing</w:t>
      </w:r>
    </w:p>
    <w:p w14:paraId="309FA72C" w14:textId="29E7EE89" w:rsidR="00ED19C3" w:rsidRDefault="00E06626" w:rsidP="00235EB0">
      <w:pPr>
        <w:jc w:val="both"/>
        <w:rPr>
          <w:rFonts w:ascii="Arial" w:hAnsi="Arial" w:cs="Arial"/>
          <w:sz w:val="20"/>
          <w:lang w:val="en-CA"/>
        </w:rPr>
      </w:pPr>
      <w:r>
        <w:rPr>
          <w:rFonts w:ascii="Arial" w:hAnsi="Arial" w:cs="Arial"/>
          <w:sz w:val="20"/>
          <w:lang w:val="en-CA"/>
        </w:rPr>
        <w:t>It has</w:t>
      </w:r>
      <w:r w:rsidRPr="00235EB0">
        <w:rPr>
          <w:rFonts w:ascii="Arial" w:hAnsi="Arial" w:cs="Arial"/>
          <w:sz w:val="20"/>
          <w:lang w:val="en-CA"/>
        </w:rPr>
        <w:t xml:space="preserve"> </w:t>
      </w:r>
      <w:r>
        <w:rPr>
          <w:rFonts w:ascii="Arial" w:hAnsi="Arial" w:cs="Arial"/>
          <w:sz w:val="20"/>
          <w:lang w:val="en-CA"/>
        </w:rPr>
        <w:t xml:space="preserve">already been </w:t>
      </w:r>
      <w:r w:rsidRPr="00235EB0">
        <w:rPr>
          <w:rFonts w:ascii="Arial" w:hAnsi="Arial" w:cs="Arial"/>
          <w:sz w:val="20"/>
          <w:lang w:val="en-CA"/>
        </w:rPr>
        <w:t xml:space="preserve">agreed that the WUS UE-grouping should be based </w:t>
      </w:r>
      <w:r w:rsidR="0072027B">
        <w:rPr>
          <w:rFonts w:ascii="Arial" w:hAnsi="Arial" w:cs="Arial"/>
          <w:sz w:val="20"/>
          <w:lang w:val="en-CA"/>
        </w:rPr>
        <w:t xml:space="preserve">on </w:t>
      </w:r>
      <w:r w:rsidRPr="00235EB0">
        <w:rPr>
          <w:rFonts w:ascii="Arial" w:hAnsi="Arial" w:cs="Arial"/>
          <w:sz w:val="20"/>
          <w:lang w:val="en-CA"/>
        </w:rPr>
        <w:t>at least UE_ID</w:t>
      </w:r>
      <w:r w:rsidR="0072027B">
        <w:rPr>
          <w:rFonts w:ascii="Arial" w:hAnsi="Arial" w:cs="Arial"/>
          <w:sz w:val="20"/>
          <w:lang w:val="en-CA"/>
        </w:rPr>
        <w:t>. (</w:t>
      </w:r>
      <w:r w:rsidR="0072027B" w:rsidRPr="00405B48">
        <w:rPr>
          <w:rFonts w:ascii="Arial" w:hAnsi="Arial" w:cs="Arial"/>
          <w:sz w:val="20"/>
          <w:lang w:val="en-CA"/>
        </w:rPr>
        <w:t>W</w:t>
      </w:r>
      <w:r w:rsidR="0072027B">
        <w:rPr>
          <w:rFonts w:ascii="Arial" w:hAnsi="Arial" w:cs="Arial"/>
          <w:sz w:val="20"/>
          <w:lang w:val="en-CA"/>
        </w:rPr>
        <w:t>e</w:t>
      </w:r>
      <w:r w:rsidR="0072027B" w:rsidRPr="00235EB0">
        <w:rPr>
          <w:rFonts w:ascii="Arial" w:hAnsi="Arial" w:cs="Arial"/>
          <w:sz w:val="20"/>
          <w:lang w:val="en-CA"/>
        </w:rPr>
        <w:t xml:space="preserve"> cover </w:t>
      </w:r>
      <w:r w:rsidR="0072027B">
        <w:rPr>
          <w:rFonts w:ascii="Arial" w:hAnsi="Arial" w:cs="Arial"/>
          <w:sz w:val="20"/>
          <w:lang w:val="en-CA"/>
        </w:rPr>
        <w:t xml:space="preserve">the WUS group mapping based on UE_ID </w:t>
      </w:r>
      <w:r w:rsidR="0072027B" w:rsidRPr="00235EB0">
        <w:rPr>
          <w:rFonts w:ascii="Arial" w:hAnsi="Arial" w:cs="Arial"/>
          <w:sz w:val="20"/>
          <w:lang w:val="en-CA"/>
        </w:rPr>
        <w:t>in a separate paper</w:t>
      </w:r>
      <w:r w:rsidR="0072027B">
        <w:rPr>
          <w:rFonts w:ascii="Arial" w:hAnsi="Arial" w:cs="Arial"/>
          <w:sz w:val="20"/>
          <w:lang w:val="en-CA"/>
        </w:rPr>
        <w:t>)</w:t>
      </w:r>
      <w:r>
        <w:rPr>
          <w:rFonts w:ascii="Arial" w:hAnsi="Arial" w:cs="Arial"/>
          <w:sz w:val="20"/>
          <w:lang w:val="en-CA"/>
        </w:rPr>
        <w:t>. Further,</w:t>
      </w:r>
      <w:r w:rsidR="0072027B">
        <w:rPr>
          <w:rFonts w:ascii="Arial" w:hAnsi="Arial" w:cs="Arial"/>
          <w:sz w:val="20"/>
          <w:lang w:val="en-CA"/>
        </w:rPr>
        <w:t xml:space="preserve"> </w:t>
      </w:r>
      <w:r w:rsidR="00B1273C">
        <w:rPr>
          <w:rFonts w:ascii="Arial" w:hAnsi="Arial" w:cs="Arial"/>
          <w:sz w:val="20"/>
          <w:lang w:val="en-CA"/>
        </w:rPr>
        <w:t>service-based grouping was a topic in the RAN2 email discussion 104#42 where it was</w:t>
      </w:r>
      <w:r w:rsidR="00EF70C9" w:rsidRPr="00235EB0">
        <w:rPr>
          <w:rFonts w:ascii="Arial" w:hAnsi="Arial" w:cs="Arial"/>
          <w:sz w:val="20"/>
          <w:lang w:val="en-CA"/>
        </w:rPr>
        <w:t xml:space="preserve"> agreed </w:t>
      </w:r>
      <w:r w:rsidR="00E32310" w:rsidRPr="00235EB0">
        <w:rPr>
          <w:rFonts w:ascii="Arial" w:hAnsi="Arial" w:cs="Arial"/>
          <w:sz w:val="20"/>
          <w:lang w:val="en-CA"/>
        </w:rPr>
        <w:t xml:space="preserve">that </w:t>
      </w:r>
      <w:r w:rsidR="003B7199" w:rsidRPr="00235EB0">
        <w:rPr>
          <w:rFonts w:ascii="Arial" w:hAnsi="Arial" w:cs="Arial"/>
          <w:sz w:val="20"/>
          <w:lang w:val="en-CA"/>
        </w:rPr>
        <w:t xml:space="preserve">the </w:t>
      </w:r>
      <w:r w:rsidR="00ED19C3">
        <w:rPr>
          <w:rFonts w:ascii="Arial" w:hAnsi="Arial" w:cs="Arial"/>
          <w:sz w:val="20"/>
          <w:lang w:val="en-CA"/>
        </w:rPr>
        <w:t>service</w:t>
      </w:r>
      <w:r w:rsidR="00BE426B">
        <w:rPr>
          <w:rFonts w:ascii="Arial" w:hAnsi="Arial" w:cs="Arial"/>
          <w:sz w:val="20"/>
          <w:lang w:val="en-CA"/>
        </w:rPr>
        <w:t>-</w:t>
      </w:r>
      <w:r w:rsidR="00ED19C3">
        <w:rPr>
          <w:rFonts w:ascii="Arial" w:hAnsi="Arial" w:cs="Arial"/>
          <w:sz w:val="20"/>
          <w:lang w:val="en-CA"/>
        </w:rPr>
        <w:t xml:space="preserve">based </w:t>
      </w:r>
      <w:r w:rsidR="001D399D">
        <w:rPr>
          <w:rFonts w:ascii="Arial" w:hAnsi="Arial" w:cs="Arial"/>
          <w:sz w:val="20"/>
          <w:lang w:val="en-CA"/>
        </w:rPr>
        <w:t xml:space="preserve">WUS </w:t>
      </w:r>
      <w:r w:rsidR="00ED19C3">
        <w:rPr>
          <w:rFonts w:ascii="Arial" w:hAnsi="Arial" w:cs="Arial"/>
          <w:sz w:val="20"/>
          <w:lang w:val="en-CA"/>
        </w:rPr>
        <w:t>groups can be further discussed</w:t>
      </w:r>
      <w:r w:rsidR="007236C5">
        <w:rPr>
          <w:rFonts w:ascii="Arial" w:hAnsi="Arial" w:cs="Arial"/>
          <w:sz w:val="20"/>
          <w:lang w:val="en-CA"/>
        </w:rPr>
        <w:t xml:space="preserve"> for </w:t>
      </w:r>
      <w:r w:rsidR="00B60195">
        <w:rPr>
          <w:rFonts w:ascii="Arial" w:hAnsi="Arial" w:cs="Arial"/>
          <w:sz w:val="20"/>
          <w:lang w:val="en-CA"/>
        </w:rPr>
        <w:t>either paging probability and/or mobility</w:t>
      </w:r>
      <w:r w:rsidR="00ED19C3">
        <w:rPr>
          <w:rFonts w:ascii="Arial" w:hAnsi="Arial" w:cs="Arial"/>
          <w:sz w:val="20"/>
          <w:lang w:val="en-CA"/>
        </w:rPr>
        <w:t>:</w:t>
      </w:r>
    </w:p>
    <w:p w14:paraId="0E48AD91" w14:textId="77777777" w:rsidR="0023764E" w:rsidRPr="0044765B" w:rsidRDefault="0023764E" w:rsidP="0023764E">
      <w:pPr>
        <w:pStyle w:val="Agreement"/>
        <w:spacing w:before="0" w:after="0" w:line="240" w:lineRule="auto"/>
        <w:rPr>
          <w:rFonts w:cs="Arial"/>
          <w:sz w:val="20"/>
          <w:szCs w:val="20"/>
          <w:lang w:val="en-CA"/>
        </w:rPr>
      </w:pPr>
      <w:r w:rsidRPr="0044765B">
        <w:rPr>
          <w:rFonts w:cs="Arial"/>
          <w:sz w:val="20"/>
          <w:szCs w:val="20"/>
          <w:lang w:val="en-CA"/>
        </w:rPr>
        <w:t>Feasibility of the solution based on the following attributes for deriving the service-type for GWUS can be studied further:</w:t>
      </w:r>
    </w:p>
    <w:p w14:paraId="02BBCB67" w14:textId="77777777" w:rsidR="0023764E" w:rsidRPr="0023764E" w:rsidRDefault="0023764E" w:rsidP="0023764E">
      <w:pPr>
        <w:pStyle w:val="Agreement"/>
        <w:numPr>
          <w:ilvl w:val="2"/>
          <w:numId w:val="28"/>
        </w:numPr>
        <w:spacing w:before="0" w:after="0" w:line="240" w:lineRule="auto"/>
        <w:rPr>
          <w:rFonts w:cs="Arial"/>
          <w:sz w:val="20"/>
          <w:szCs w:val="20"/>
        </w:rPr>
      </w:pPr>
      <w:r w:rsidRPr="0023764E">
        <w:rPr>
          <w:rFonts w:cs="Arial"/>
          <w:sz w:val="20"/>
          <w:szCs w:val="20"/>
        </w:rPr>
        <w:t>Paging Probability</w:t>
      </w:r>
    </w:p>
    <w:p w14:paraId="42E182AF" w14:textId="40F823D6" w:rsidR="00D56ABE" w:rsidRDefault="0023764E" w:rsidP="00D56ABE">
      <w:pPr>
        <w:pStyle w:val="Agreement"/>
        <w:numPr>
          <w:ilvl w:val="2"/>
          <w:numId w:val="28"/>
        </w:numPr>
        <w:spacing w:before="0" w:after="0" w:line="240" w:lineRule="auto"/>
        <w:rPr>
          <w:rFonts w:cs="Arial"/>
          <w:sz w:val="20"/>
          <w:szCs w:val="20"/>
        </w:rPr>
      </w:pPr>
      <w:r w:rsidRPr="0023764E">
        <w:rPr>
          <w:rFonts w:cs="Arial"/>
          <w:sz w:val="20"/>
          <w:szCs w:val="20"/>
        </w:rPr>
        <w:t>Mobility.</w:t>
      </w:r>
    </w:p>
    <w:p w14:paraId="0A838D4E" w14:textId="77777777" w:rsidR="00D56ABE" w:rsidRPr="00D56ABE" w:rsidRDefault="00D56ABE" w:rsidP="00D56ABE">
      <w:pPr>
        <w:pStyle w:val="Doc-text2"/>
        <w:spacing w:after="0"/>
        <w:rPr>
          <w:lang w:val="en-US" w:eastAsia="en-GB"/>
        </w:rPr>
      </w:pPr>
    </w:p>
    <w:p w14:paraId="1E63F910" w14:textId="58A57747" w:rsidR="00041CAA" w:rsidRDefault="00C51AEA" w:rsidP="00D56ABE">
      <w:pPr>
        <w:spacing w:after="0"/>
        <w:jc w:val="both"/>
        <w:rPr>
          <w:rFonts w:ascii="Arial" w:hAnsi="Arial" w:cs="Arial"/>
          <w:sz w:val="20"/>
          <w:lang w:val="en-CA"/>
        </w:rPr>
      </w:pPr>
      <w:r>
        <w:rPr>
          <w:rFonts w:ascii="Arial" w:hAnsi="Arial" w:cs="Arial"/>
          <w:sz w:val="20"/>
          <w:lang w:val="en-CA"/>
        </w:rPr>
        <w:t xml:space="preserve">The difficult part is to show a practical solution for these cases </w:t>
      </w:r>
      <w:r w:rsidR="00751E2B">
        <w:rPr>
          <w:rFonts w:ascii="Arial" w:hAnsi="Arial" w:cs="Arial"/>
          <w:sz w:val="20"/>
          <w:lang w:val="en-CA"/>
        </w:rPr>
        <w:t>where there would be obvious gains to motive the added complexity.</w:t>
      </w:r>
      <w:r w:rsidR="00833435">
        <w:rPr>
          <w:rFonts w:ascii="Arial" w:hAnsi="Arial" w:cs="Arial"/>
          <w:sz w:val="20"/>
          <w:lang w:val="en-CA"/>
        </w:rPr>
        <w:t xml:space="preserve"> </w:t>
      </w:r>
      <w:r w:rsidR="00D65E71">
        <w:rPr>
          <w:rFonts w:ascii="Arial" w:hAnsi="Arial" w:cs="Arial"/>
          <w:sz w:val="20"/>
          <w:lang w:val="en-CA"/>
        </w:rPr>
        <w:t xml:space="preserve">This is what remains to be sorted out in RAN2 and </w:t>
      </w:r>
      <w:r w:rsidR="000B2C2F">
        <w:rPr>
          <w:rFonts w:ascii="Arial" w:hAnsi="Arial" w:cs="Arial"/>
          <w:sz w:val="20"/>
          <w:lang w:val="en-CA"/>
        </w:rPr>
        <w:t>unless the gains are clear compared to “random” grouping based on UE_ID none of these solutions should be supported.</w:t>
      </w:r>
    </w:p>
    <w:p w14:paraId="5EDDCBAA" w14:textId="27BA97FF" w:rsidR="000B2C2F" w:rsidRDefault="000B2C2F" w:rsidP="00D56ABE">
      <w:pPr>
        <w:spacing w:after="0"/>
        <w:jc w:val="both"/>
        <w:rPr>
          <w:rFonts w:ascii="Arial" w:hAnsi="Arial" w:cs="Arial"/>
          <w:sz w:val="20"/>
          <w:lang w:val="en-CA"/>
        </w:rPr>
      </w:pPr>
    </w:p>
    <w:p w14:paraId="3C65EB8D" w14:textId="2A0A2321" w:rsidR="00CB549C" w:rsidRPr="00F53A11" w:rsidRDefault="00FB1428" w:rsidP="00AE7DE4">
      <w:pPr>
        <w:pStyle w:val="Proposal"/>
        <w:rPr>
          <w:sz w:val="20"/>
          <w:lang w:val="en-CA"/>
        </w:rPr>
      </w:pPr>
      <w:bookmarkStart w:id="5" w:name="_Toc4686259"/>
      <w:r w:rsidRPr="00F53A11">
        <w:rPr>
          <w:sz w:val="20"/>
          <w:lang w:val="en-CA"/>
        </w:rPr>
        <w:t xml:space="preserve">Any </w:t>
      </w:r>
      <w:r w:rsidR="009D3238" w:rsidRPr="00F53A11">
        <w:rPr>
          <w:sz w:val="20"/>
          <w:lang w:val="en-CA"/>
        </w:rPr>
        <w:t>service-type WUS grouping solution should only be supported if</w:t>
      </w:r>
      <w:r w:rsidR="00AE7DE4" w:rsidRPr="00F53A11">
        <w:rPr>
          <w:sz w:val="20"/>
          <w:lang w:val="en-CA"/>
        </w:rPr>
        <w:t xml:space="preserve"> practical</w:t>
      </w:r>
      <w:r w:rsidR="009D3238" w:rsidRPr="00F53A11">
        <w:rPr>
          <w:sz w:val="20"/>
          <w:lang w:val="en-CA"/>
        </w:rPr>
        <w:t xml:space="preserve"> </w:t>
      </w:r>
      <w:r w:rsidR="00AE7DE4" w:rsidRPr="00F53A11">
        <w:rPr>
          <w:sz w:val="20"/>
          <w:lang w:val="en-CA"/>
        </w:rPr>
        <w:t>gains are clear.</w:t>
      </w:r>
      <w:bookmarkEnd w:id="5"/>
    </w:p>
    <w:p w14:paraId="62623E35" w14:textId="6DF97189" w:rsidR="007228BD" w:rsidRPr="00F53A11" w:rsidRDefault="007228BD" w:rsidP="00D56ABE">
      <w:pPr>
        <w:spacing w:after="0"/>
        <w:jc w:val="both"/>
        <w:rPr>
          <w:rFonts w:ascii="Arial" w:hAnsi="Arial" w:cs="Arial"/>
          <w:sz w:val="18"/>
          <w:szCs w:val="20"/>
          <w:lang w:val="en-CA"/>
        </w:rPr>
      </w:pPr>
    </w:p>
    <w:p w14:paraId="15857F65" w14:textId="6D1B3E52" w:rsidR="007228BD" w:rsidRDefault="00075360" w:rsidP="00075360">
      <w:pPr>
        <w:pStyle w:val="Heading3"/>
      </w:pPr>
      <w:r>
        <w:t>2.</w:t>
      </w:r>
      <w:r w:rsidR="00585A27">
        <w:t>1</w:t>
      </w:r>
      <w:r>
        <w:t>.1</w:t>
      </w:r>
      <w:r>
        <w:tab/>
      </w:r>
      <w:r w:rsidR="007228BD" w:rsidRPr="007228BD">
        <w:t>Paging</w:t>
      </w:r>
      <w:r w:rsidR="007228BD">
        <w:t xml:space="preserve"> </w:t>
      </w:r>
      <w:r>
        <w:t>probability based WUS grouping</w:t>
      </w:r>
    </w:p>
    <w:p w14:paraId="5C298167" w14:textId="3F562D27" w:rsidR="00075360" w:rsidRDefault="00075360" w:rsidP="00D56ABE">
      <w:pPr>
        <w:spacing w:after="0"/>
        <w:jc w:val="both"/>
        <w:rPr>
          <w:rFonts w:ascii="Arial" w:hAnsi="Arial" w:cs="Arial"/>
          <w:sz w:val="20"/>
          <w:szCs w:val="20"/>
          <w:lang w:val="en-CA"/>
        </w:rPr>
      </w:pPr>
    </w:p>
    <w:p w14:paraId="680EF7C0" w14:textId="31427A1C" w:rsidR="00075360" w:rsidRDefault="008C6105" w:rsidP="00D56ABE">
      <w:pPr>
        <w:spacing w:after="0"/>
        <w:jc w:val="both"/>
        <w:rPr>
          <w:rFonts w:ascii="Arial" w:hAnsi="Arial" w:cs="Arial"/>
          <w:sz w:val="20"/>
          <w:szCs w:val="20"/>
          <w:lang w:val="en-CA"/>
        </w:rPr>
      </w:pPr>
      <w:r>
        <w:rPr>
          <w:rFonts w:ascii="Arial" w:hAnsi="Arial" w:cs="Arial"/>
          <w:sz w:val="20"/>
          <w:szCs w:val="20"/>
          <w:lang w:val="en-CA"/>
        </w:rPr>
        <w:t>As stated in the beginning of Se</w:t>
      </w:r>
      <w:r w:rsidR="00710947">
        <w:rPr>
          <w:rFonts w:ascii="Arial" w:hAnsi="Arial" w:cs="Arial"/>
          <w:sz w:val="20"/>
          <w:szCs w:val="20"/>
          <w:lang w:val="en-CA"/>
        </w:rPr>
        <w:t>c</w:t>
      </w:r>
      <w:r>
        <w:rPr>
          <w:rFonts w:ascii="Arial" w:hAnsi="Arial" w:cs="Arial"/>
          <w:sz w:val="20"/>
          <w:szCs w:val="20"/>
          <w:lang w:val="en-CA"/>
        </w:rPr>
        <w:t>tion 2.1, t</w:t>
      </w:r>
      <w:r w:rsidR="00E35A0A">
        <w:rPr>
          <w:rFonts w:ascii="Arial" w:hAnsi="Arial" w:cs="Arial"/>
          <w:sz w:val="20"/>
          <w:szCs w:val="20"/>
          <w:lang w:val="en-CA"/>
        </w:rPr>
        <w:t xml:space="preserve">he gain </w:t>
      </w:r>
      <w:r>
        <w:rPr>
          <w:rFonts w:ascii="Arial" w:hAnsi="Arial" w:cs="Arial"/>
          <w:sz w:val="20"/>
          <w:szCs w:val="20"/>
          <w:lang w:val="en-CA"/>
        </w:rPr>
        <w:t xml:space="preserve">of Rel-16 group WUS comes from reduced false paging </w:t>
      </w:r>
      <w:r w:rsidR="00633836">
        <w:rPr>
          <w:rFonts w:ascii="Arial" w:hAnsi="Arial" w:cs="Arial"/>
          <w:sz w:val="20"/>
          <w:szCs w:val="20"/>
          <w:lang w:val="en-CA"/>
        </w:rPr>
        <w:t>probability</w:t>
      </w:r>
      <w:r w:rsidR="00E55F7B">
        <w:rPr>
          <w:rFonts w:ascii="Arial" w:hAnsi="Arial" w:cs="Arial"/>
          <w:sz w:val="20"/>
          <w:szCs w:val="20"/>
          <w:lang w:val="en-CA"/>
        </w:rPr>
        <w:t xml:space="preserve"> (per PO)</w:t>
      </w:r>
      <w:r w:rsidR="00633836">
        <w:rPr>
          <w:rFonts w:ascii="Arial" w:hAnsi="Arial" w:cs="Arial"/>
          <w:sz w:val="20"/>
          <w:szCs w:val="20"/>
          <w:lang w:val="en-CA"/>
        </w:rPr>
        <w:t xml:space="preserve">. </w:t>
      </w:r>
      <w:r w:rsidR="0077397B">
        <w:rPr>
          <w:rFonts w:ascii="Arial" w:hAnsi="Arial" w:cs="Arial"/>
          <w:sz w:val="20"/>
          <w:szCs w:val="20"/>
          <w:lang w:val="en-CA"/>
        </w:rPr>
        <w:t xml:space="preserve">For a specific UE it is therefore of interest to lower the probability that the UE is woken up by the paging </w:t>
      </w:r>
      <w:r w:rsidR="00B23559">
        <w:rPr>
          <w:rFonts w:ascii="Arial" w:hAnsi="Arial" w:cs="Arial"/>
          <w:sz w:val="20"/>
          <w:szCs w:val="20"/>
          <w:lang w:val="en-CA"/>
        </w:rPr>
        <w:t>for</w:t>
      </w:r>
      <w:r w:rsidR="0077397B">
        <w:rPr>
          <w:rFonts w:ascii="Arial" w:hAnsi="Arial" w:cs="Arial"/>
          <w:sz w:val="20"/>
          <w:szCs w:val="20"/>
          <w:lang w:val="en-CA"/>
        </w:rPr>
        <w:t xml:space="preserve"> another UE. This can be achieved by </w:t>
      </w:r>
      <w:r w:rsidR="006545D5">
        <w:rPr>
          <w:rFonts w:ascii="Arial" w:hAnsi="Arial" w:cs="Arial"/>
          <w:sz w:val="20"/>
          <w:szCs w:val="20"/>
          <w:lang w:val="en-CA"/>
        </w:rPr>
        <w:t>having this UE sharing a WUS group with a</w:t>
      </w:r>
      <w:r w:rsidR="00A52905">
        <w:rPr>
          <w:rFonts w:ascii="Arial" w:hAnsi="Arial" w:cs="Arial"/>
          <w:sz w:val="20"/>
          <w:szCs w:val="20"/>
          <w:lang w:val="en-CA"/>
        </w:rPr>
        <w:t>s</w:t>
      </w:r>
      <w:r w:rsidR="006545D5">
        <w:rPr>
          <w:rFonts w:ascii="Arial" w:hAnsi="Arial" w:cs="Arial"/>
          <w:sz w:val="20"/>
          <w:szCs w:val="20"/>
          <w:lang w:val="en-CA"/>
        </w:rPr>
        <w:t xml:space="preserve"> few UEs as possible, and perhaps ensuring that none of the other UEs in the </w:t>
      </w:r>
      <w:r w:rsidR="00984E03">
        <w:rPr>
          <w:rFonts w:ascii="Arial" w:hAnsi="Arial" w:cs="Arial"/>
          <w:sz w:val="20"/>
          <w:szCs w:val="20"/>
          <w:lang w:val="en-CA"/>
        </w:rPr>
        <w:t>WUS group is paged much more often than the UE</w:t>
      </w:r>
      <w:r w:rsidR="003F241A">
        <w:rPr>
          <w:rFonts w:ascii="Arial" w:hAnsi="Arial" w:cs="Arial"/>
          <w:sz w:val="20"/>
          <w:szCs w:val="20"/>
          <w:lang w:val="en-CA"/>
        </w:rPr>
        <w:t xml:space="preserve"> itself</w:t>
      </w:r>
      <w:r w:rsidR="00984E03">
        <w:rPr>
          <w:rFonts w:ascii="Arial" w:hAnsi="Arial" w:cs="Arial"/>
          <w:sz w:val="20"/>
          <w:szCs w:val="20"/>
          <w:lang w:val="en-CA"/>
        </w:rPr>
        <w:t xml:space="preserve">. </w:t>
      </w:r>
      <w:r w:rsidR="003F241A">
        <w:rPr>
          <w:rFonts w:ascii="Arial" w:hAnsi="Arial" w:cs="Arial"/>
          <w:sz w:val="20"/>
          <w:szCs w:val="20"/>
          <w:lang w:val="en-CA"/>
        </w:rPr>
        <w:t xml:space="preserve">The first </w:t>
      </w:r>
      <w:r w:rsidR="006630FB">
        <w:rPr>
          <w:rFonts w:ascii="Arial" w:hAnsi="Arial" w:cs="Arial"/>
          <w:sz w:val="20"/>
          <w:szCs w:val="20"/>
          <w:lang w:val="en-CA"/>
        </w:rPr>
        <w:t xml:space="preserve">thing </w:t>
      </w:r>
      <w:r w:rsidR="003F241A">
        <w:rPr>
          <w:rFonts w:ascii="Arial" w:hAnsi="Arial" w:cs="Arial"/>
          <w:sz w:val="20"/>
          <w:szCs w:val="20"/>
          <w:lang w:val="en-CA"/>
        </w:rPr>
        <w:t xml:space="preserve">is relatively easy to achieve </w:t>
      </w:r>
      <w:r w:rsidR="00A674AF">
        <w:rPr>
          <w:rFonts w:ascii="Arial" w:hAnsi="Arial" w:cs="Arial"/>
          <w:sz w:val="20"/>
          <w:szCs w:val="20"/>
          <w:lang w:val="en-CA"/>
        </w:rPr>
        <w:t>with uniform UE distribution in WUS groups based on UE_ID.</w:t>
      </w:r>
    </w:p>
    <w:p w14:paraId="7B38DC93" w14:textId="77777777" w:rsidR="0003172B" w:rsidRDefault="0003172B" w:rsidP="00D56ABE">
      <w:pPr>
        <w:spacing w:after="0"/>
        <w:jc w:val="both"/>
        <w:rPr>
          <w:rFonts w:ascii="Arial" w:hAnsi="Arial" w:cs="Arial"/>
          <w:sz w:val="20"/>
          <w:szCs w:val="20"/>
          <w:lang w:val="en-CA"/>
        </w:rPr>
      </w:pPr>
    </w:p>
    <w:p w14:paraId="4E69BE93" w14:textId="3F161C59" w:rsidR="006630FB" w:rsidRPr="00F53A11" w:rsidRDefault="00A674AF" w:rsidP="0003172B">
      <w:pPr>
        <w:pStyle w:val="Observation"/>
        <w:rPr>
          <w:sz w:val="20"/>
          <w:lang w:val="en-CA"/>
        </w:rPr>
      </w:pPr>
      <w:bookmarkStart w:id="6" w:name="_Toc4686255"/>
      <w:r w:rsidRPr="00F53A11">
        <w:rPr>
          <w:sz w:val="20"/>
          <w:lang w:val="en-CA"/>
        </w:rPr>
        <w:t xml:space="preserve">Ensuring that UEs share a WUS group with as few other UEs as possible </w:t>
      </w:r>
      <w:r w:rsidR="006630FB" w:rsidRPr="00F53A11">
        <w:rPr>
          <w:sz w:val="20"/>
          <w:lang w:val="en-CA"/>
        </w:rPr>
        <w:t>can be achieved by a “random” uniform distribution based on UE_ID.</w:t>
      </w:r>
      <w:bookmarkEnd w:id="6"/>
    </w:p>
    <w:p w14:paraId="4E4A46E4" w14:textId="128E7A63" w:rsidR="006630FB" w:rsidRPr="00F53A11" w:rsidRDefault="006630FB" w:rsidP="00D56ABE">
      <w:pPr>
        <w:spacing w:after="0"/>
        <w:jc w:val="both"/>
        <w:rPr>
          <w:rFonts w:ascii="Arial" w:hAnsi="Arial" w:cs="Arial"/>
          <w:sz w:val="18"/>
          <w:szCs w:val="20"/>
          <w:lang w:val="en-CA"/>
        </w:rPr>
      </w:pPr>
    </w:p>
    <w:p w14:paraId="5878F095" w14:textId="1F2B06B6" w:rsidR="00AD3F5D" w:rsidRDefault="006630FB" w:rsidP="00AD3F5D">
      <w:pPr>
        <w:spacing w:after="0"/>
        <w:jc w:val="both"/>
        <w:rPr>
          <w:rFonts w:ascii="Arial" w:hAnsi="Arial" w:cs="Arial"/>
          <w:sz w:val="20"/>
          <w:szCs w:val="20"/>
          <w:lang w:val="en-CA"/>
        </w:rPr>
      </w:pPr>
      <w:r>
        <w:rPr>
          <w:rFonts w:ascii="Arial" w:hAnsi="Arial" w:cs="Arial"/>
          <w:sz w:val="20"/>
          <w:szCs w:val="20"/>
          <w:lang w:val="en-CA"/>
        </w:rPr>
        <w:t xml:space="preserve">The second thing is </w:t>
      </w:r>
      <w:r w:rsidR="00367301">
        <w:rPr>
          <w:rFonts w:ascii="Arial" w:hAnsi="Arial" w:cs="Arial"/>
          <w:sz w:val="20"/>
          <w:szCs w:val="20"/>
          <w:lang w:val="en-CA"/>
        </w:rPr>
        <w:t>much more difficult</w:t>
      </w:r>
      <w:r w:rsidR="0041343B">
        <w:rPr>
          <w:rFonts w:ascii="Arial" w:hAnsi="Arial" w:cs="Arial"/>
          <w:sz w:val="20"/>
          <w:szCs w:val="20"/>
          <w:lang w:val="en-CA"/>
        </w:rPr>
        <w:t xml:space="preserve"> to achieve</w:t>
      </w:r>
      <w:r w:rsidR="00F15E31">
        <w:rPr>
          <w:rFonts w:ascii="Arial" w:hAnsi="Arial" w:cs="Arial"/>
          <w:sz w:val="20"/>
          <w:szCs w:val="20"/>
          <w:lang w:val="en-CA"/>
        </w:rPr>
        <w:t xml:space="preserve"> since </w:t>
      </w:r>
      <w:r w:rsidR="008430E1">
        <w:rPr>
          <w:rFonts w:ascii="Arial" w:hAnsi="Arial" w:cs="Arial"/>
          <w:sz w:val="20"/>
          <w:szCs w:val="20"/>
          <w:lang w:val="en-CA"/>
        </w:rPr>
        <w:t xml:space="preserve">there is no way to determine a UE’s paging probability from existing information elements. That is, </w:t>
      </w:r>
      <w:r w:rsidR="00ED518E">
        <w:rPr>
          <w:rFonts w:ascii="Arial" w:hAnsi="Arial" w:cs="Arial"/>
          <w:sz w:val="20"/>
          <w:szCs w:val="20"/>
          <w:lang w:val="en-CA"/>
        </w:rPr>
        <w:t xml:space="preserve">just </w:t>
      </w:r>
      <w:r w:rsidR="00C955D8">
        <w:rPr>
          <w:rFonts w:ascii="Arial" w:hAnsi="Arial" w:cs="Arial"/>
          <w:sz w:val="20"/>
          <w:szCs w:val="20"/>
          <w:lang w:val="en-CA"/>
        </w:rPr>
        <w:t xml:space="preserve">because two UEs have the same eDRX cycle length it does not mean they have the same paging probability per PO and can be but in the same group. Even if the type of service was known, which is difficult for </w:t>
      </w:r>
      <w:r w:rsidR="00F31917">
        <w:rPr>
          <w:rFonts w:ascii="Arial" w:hAnsi="Arial" w:cs="Arial"/>
          <w:sz w:val="20"/>
          <w:szCs w:val="20"/>
          <w:lang w:val="en-CA"/>
        </w:rPr>
        <w:t xml:space="preserve">NB-IoT since there is no </w:t>
      </w:r>
      <w:r w:rsidR="00763F66">
        <w:rPr>
          <w:rFonts w:ascii="Arial" w:hAnsi="Arial" w:cs="Arial"/>
          <w:sz w:val="20"/>
          <w:szCs w:val="20"/>
          <w:lang w:val="en-CA"/>
        </w:rPr>
        <w:t xml:space="preserve">QoS or QCID, it can be used with different frequency/intensity. </w:t>
      </w:r>
      <w:r w:rsidR="007862DA">
        <w:rPr>
          <w:rFonts w:ascii="Arial" w:hAnsi="Arial" w:cs="Arial"/>
          <w:sz w:val="20"/>
          <w:szCs w:val="20"/>
          <w:lang w:val="en-CA"/>
        </w:rPr>
        <w:t xml:space="preserve">Further, there are many other things affecting the paging probability; </w:t>
      </w:r>
      <w:r w:rsidR="0019435D">
        <w:rPr>
          <w:rFonts w:ascii="Arial" w:hAnsi="Arial" w:cs="Arial"/>
          <w:sz w:val="20"/>
          <w:szCs w:val="20"/>
          <w:lang w:val="en-CA"/>
        </w:rPr>
        <w:t xml:space="preserve">the paging configuration, UE capabilities, the number of paging </w:t>
      </w:r>
      <w:proofErr w:type="spellStart"/>
      <w:r w:rsidR="0019435D">
        <w:rPr>
          <w:rFonts w:ascii="Arial" w:hAnsi="Arial" w:cs="Arial"/>
          <w:sz w:val="20"/>
          <w:szCs w:val="20"/>
          <w:lang w:val="en-CA"/>
        </w:rPr>
        <w:t>narrowbands</w:t>
      </w:r>
      <w:proofErr w:type="spellEnd"/>
      <w:r w:rsidR="0019435D">
        <w:rPr>
          <w:rFonts w:ascii="Arial" w:hAnsi="Arial" w:cs="Arial"/>
          <w:sz w:val="20"/>
          <w:szCs w:val="20"/>
          <w:lang w:val="en-CA"/>
        </w:rPr>
        <w:t xml:space="preserve">/carriers, etc. For example, </w:t>
      </w:r>
      <w:r w:rsidR="0084080C">
        <w:rPr>
          <w:rFonts w:ascii="Arial" w:hAnsi="Arial" w:cs="Arial"/>
          <w:sz w:val="20"/>
          <w:szCs w:val="20"/>
          <w:lang w:val="en-CA"/>
        </w:rPr>
        <w:t xml:space="preserve">even if assuming the traffic and all configuration, such as eDRX, is exactly the same for two UEs, the paging probability </w:t>
      </w:r>
      <w:r w:rsidR="00F47FFC">
        <w:rPr>
          <w:rFonts w:ascii="Arial" w:hAnsi="Arial" w:cs="Arial"/>
          <w:sz w:val="20"/>
          <w:szCs w:val="20"/>
          <w:lang w:val="en-CA"/>
        </w:rPr>
        <w:t xml:space="preserve">will still not be the same if e.g. one UE supports Rel-14 paging on non-anchor </w:t>
      </w:r>
      <w:proofErr w:type="gramStart"/>
      <w:r w:rsidR="00F47FFC">
        <w:rPr>
          <w:rFonts w:ascii="Arial" w:hAnsi="Arial" w:cs="Arial"/>
          <w:sz w:val="20"/>
          <w:szCs w:val="20"/>
          <w:lang w:val="en-CA"/>
        </w:rPr>
        <w:t>carriers</w:t>
      </w:r>
      <w:proofErr w:type="gramEnd"/>
      <w:r w:rsidR="00F47FFC">
        <w:rPr>
          <w:rFonts w:ascii="Arial" w:hAnsi="Arial" w:cs="Arial"/>
          <w:sz w:val="20"/>
          <w:szCs w:val="20"/>
          <w:lang w:val="en-CA"/>
        </w:rPr>
        <w:t xml:space="preserve"> but the other UE does not.</w:t>
      </w:r>
      <w:r w:rsidR="0084080C">
        <w:rPr>
          <w:rFonts w:ascii="Arial" w:hAnsi="Arial" w:cs="Arial"/>
          <w:sz w:val="20"/>
          <w:szCs w:val="20"/>
          <w:lang w:val="en-CA"/>
        </w:rPr>
        <w:t xml:space="preserve"> </w:t>
      </w:r>
      <w:r w:rsidR="002D54C4">
        <w:rPr>
          <w:rFonts w:ascii="Arial" w:hAnsi="Arial" w:cs="Arial"/>
          <w:sz w:val="20"/>
          <w:szCs w:val="20"/>
          <w:lang w:val="en-CA"/>
        </w:rPr>
        <w:t>Some may argue that</w:t>
      </w:r>
      <w:r w:rsidR="00BA4F57">
        <w:rPr>
          <w:rFonts w:ascii="Arial" w:hAnsi="Arial" w:cs="Arial"/>
          <w:sz w:val="20"/>
          <w:szCs w:val="20"/>
          <w:lang w:val="en-CA"/>
        </w:rPr>
        <w:t xml:space="preserve"> the information fields stored in CN from</w:t>
      </w:r>
      <w:r w:rsidR="002D54C4">
        <w:rPr>
          <w:rFonts w:ascii="Arial" w:hAnsi="Arial" w:cs="Arial"/>
          <w:sz w:val="20"/>
          <w:szCs w:val="20"/>
          <w:lang w:val="en-CA"/>
        </w:rPr>
        <w:t xml:space="preserve"> Rel-15 </w:t>
      </w:r>
      <w:r w:rsidR="00BA4F57" w:rsidRPr="00BA4F57">
        <w:rPr>
          <w:rFonts w:ascii="Arial" w:hAnsi="Arial" w:cs="Arial"/>
          <w:sz w:val="20"/>
          <w:szCs w:val="20"/>
          <w:lang w:val="en-CA"/>
        </w:rPr>
        <w:t>‘Subscription UE Differentiation Information’</w:t>
      </w:r>
      <w:r w:rsidR="00BA4F57">
        <w:rPr>
          <w:rFonts w:ascii="Arial" w:hAnsi="Arial" w:cs="Arial"/>
          <w:sz w:val="20"/>
          <w:szCs w:val="20"/>
          <w:lang w:val="en-CA"/>
        </w:rPr>
        <w:t xml:space="preserve"> could be used </w:t>
      </w:r>
      <w:r w:rsidR="00AD3F5D">
        <w:rPr>
          <w:rFonts w:ascii="Arial" w:hAnsi="Arial" w:cs="Arial"/>
          <w:sz w:val="20"/>
          <w:szCs w:val="20"/>
          <w:lang w:val="en-CA"/>
        </w:rPr>
        <w:t>to determine the paging probability of a UE</w:t>
      </w:r>
      <w:r w:rsidR="00BA4F57">
        <w:rPr>
          <w:rFonts w:ascii="Arial" w:hAnsi="Arial" w:cs="Arial"/>
          <w:sz w:val="20"/>
          <w:szCs w:val="20"/>
          <w:lang w:val="en-CA"/>
        </w:rPr>
        <w:t xml:space="preserve">. </w:t>
      </w:r>
      <w:r w:rsidR="00AD3F5D">
        <w:rPr>
          <w:rFonts w:ascii="Arial" w:hAnsi="Arial" w:cs="Arial"/>
          <w:sz w:val="20"/>
          <w:szCs w:val="20"/>
          <w:lang w:val="en-CA"/>
        </w:rPr>
        <w:t xml:space="preserve">Even </w:t>
      </w:r>
      <w:r w:rsidR="00152D6D">
        <w:rPr>
          <w:rFonts w:ascii="Arial" w:hAnsi="Arial" w:cs="Arial"/>
          <w:sz w:val="20"/>
          <w:szCs w:val="20"/>
          <w:lang w:val="en-CA"/>
        </w:rPr>
        <w:t xml:space="preserve">if </w:t>
      </w:r>
      <w:r w:rsidR="00AD3F5D">
        <w:rPr>
          <w:rFonts w:ascii="Arial" w:hAnsi="Arial" w:cs="Arial"/>
          <w:sz w:val="20"/>
          <w:szCs w:val="20"/>
          <w:lang w:val="en-CA"/>
        </w:rPr>
        <w:t xml:space="preserve">such information is available and may be provided in subscription information the implementation of this Rel-15 feature should not be a pre-requisite for Rel-16 GWUS in our view. </w:t>
      </w:r>
    </w:p>
    <w:p w14:paraId="7524E585" w14:textId="0BD07DDB" w:rsidR="00037157" w:rsidRDefault="00037157" w:rsidP="00D56ABE">
      <w:pPr>
        <w:spacing w:after="0"/>
        <w:jc w:val="both"/>
        <w:rPr>
          <w:rFonts w:ascii="Arial" w:hAnsi="Arial" w:cs="Arial"/>
          <w:sz w:val="20"/>
          <w:szCs w:val="20"/>
          <w:lang w:val="en-CA"/>
        </w:rPr>
      </w:pPr>
    </w:p>
    <w:p w14:paraId="09D23CCF" w14:textId="1EDD4EFF" w:rsidR="00552F42" w:rsidRPr="00F53A11" w:rsidRDefault="00FA5891" w:rsidP="0023106D">
      <w:pPr>
        <w:pStyle w:val="Observation"/>
        <w:rPr>
          <w:sz w:val="20"/>
          <w:lang w:val="en-CA"/>
        </w:rPr>
      </w:pPr>
      <w:bookmarkStart w:id="7" w:name="_Toc4686256"/>
      <w:r w:rsidRPr="00F53A11">
        <w:rPr>
          <w:sz w:val="20"/>
          <w:lang w:val="en-CA"/>
        </w:rPr>
        <w:t xml:space="preserve">Existing information elements such as the service type, eDRX configuration, etc. are not </w:t>
      </w:r>
      <w:proofErr w:type="gramStart"/>
      <w:r w:rsidRPr="00F53A11">
        <w:rPr>
          <w:sz w:val="20"/>
          <w:lang w:val="en-CA"/>
        </w:rPr>
        <w:t>sufficient</w:t>
      </w:r>
      <w:proofErr w:type="gramEnd"/>
      <w:r w:rsidRPr="00F53A11">
        <w:rPr>
          <w:sz w:val="20"/>
          <w:lang w:val="en-CA"/>
        </w:rPr>
        <w:t xml:space="preserve"> for the NW to derive the paging probability for a UE per PO</w:t>
      </w:r>
      <w:r w:rsidR="009F7C27" w:rsidRPr="00F53A11">
        <w:rPr>
          <w:sz w:val="20"/>
          <w:lang w:val="en-CA"/>
        </w:rPr>
        <w:t>.</w:t>
      </w:r>
      <w:bookmarkEnd w:id="7"/>
    </w:p>
    <w:p w14:paraId="7657D369" w14:textId="7D973EE5" w:rsidR="003375FB" w:rsidRPr="00F53A11" w:rsidRDefault="00777F2B" w:rsidP="007A0BD8">
      <w:pPr>
        <w:pStyle w:val="Proposal"/>
        <w:rPr>
          <w:sz w:val="20"/>
          <w:lang w:val="en-CA"/>
        </w:rPr>
      </w:pPr>
      <w:bookmarkStart w:id="8" w:name="_Toc4686260"/>
      <w:r w:rsidRPr="00F53A11">
        <w:rPr>
          <w:sz w:val="20"/>
          <w:lang w:val="en-CA"/>
        </w:rPr>
        <w:t xml:space="preserve">Rel-15 </w:t>
      </w:r>
      <w:r w:rsidR="00F02416" w:rsidRPr="00F53A11">
        <w:rPr>
          <w:sz w:val="20"/>
          <w:lang w:val="en-CA"/>
        </w:rPr>
        <w:t>‘Subscription UE Differentiation Information’ should not be a pre-requisite for Rel-16 GWUS.</w:t>
      </w:r>
      <w:bookmarkEnd w:id="8"/>
    </w:p>
    <w:p w14:paraId="0E11730E" w14:textId="4E77937C" w:rsidR="00075360" w:rsidRPr="00F53A11" w:rsidRDefault="00075360" w:rsidP="00D56ABE">
      <w:pPr>
        <w:spacing w:after="0"/>
        <w:jc w:val="both"/>
        <w:rPr>
          <w:rFonts w:ascii="Arial" w:hAnsi="Arial" w:cs="Arial"/>
          <w:sz w:val="18"/>
          <w:szCs w:val="20"/>
          <w:lang w:val="en-CA"/>
        </w:rPr>
      </w:pPr>
    </w:p>
    <w:p w14:paraId="5C61ED1D" w14:textId="3C6DC017" w:rsidR="00075360" w:rsidRPr="007228BD" w:rsidRDefault="00075360" w:rsidP="00075360">
      <w:pPr>
        <w:pStyle w:val="Heading3"/>
      </w:pPr>
      <w:r>
        <w:t>2.</w:t>
      </w:r>
      <w:r w:rsidR="00585A27">
        <w:t>1</w:t>
      </w:r>
      <w:r>
        <w:t>.2</w:t>
      </w:r>
      <w:r>
        <w:tab/>
        <w:t>Mobility based WUS grouping</w:t>
      </w:r>
    </w:p>
    <w:p w14:paraId="1E4AD1B4" w14:textId="3BEB66A1" w:rsidR="007E2337" w:rsidRDefault="003C3AC2" w:rsidP="00161AE5">
      <w:pPr>
        <w:jc w:val="both"/>
        <w:rPr>
          <w:rFonts w:ascii="Arial" w:hAnsi="Arial" w:cs="Arial"/>
          <w:sz w:val="20"/>
          <w:lang w:val="en-CA"/>
        </w:rPr>
      </w:pPr>
      <w:r w:rsidRPr="00235EB0">
        <w:rPr>
          <w:rFonts w:ascii="Arial" w:hAnsi="Arial" w:cs="Arial"/>
          <w:sz w:val="20"/>
          <w:lang w:val="en-CA"/>
        </w:rPr>
        <w:t xml:space="preserve">There will be unnecessarily </w:t>
      </w:r>
      <w:proofErr w:type="gramStart"/>
      <w:r w:rsidRPr="00235EB0">
        <w:rPr>
          <w:rFonts w:ascii="Arial" w:hAnsi="Arial" w:cs="Arial"/>
          <w:sz w:val="20"/>
          <w:lang w:val="en-CA"/>
        </w:rPr>
        <w:t>high power</w:t>
      </w:r>
      <w:proofErr w:type="gramEnd"/>
      <w:r w:rsidRPr="00235EB0">
        <w:rPr>
          <w:rFonts w:ascii="Arial" w:hAnsi="Arial" w:cs="Arial"/>
          <w:sz w:val="20"/>
          <w:lang w:val="en-CA"/>
        </w:rPr>
        <w:t xml:space="preserve"> consumption for a UE which </w:t>
      </w:r>
      <w:r w:rsidR="00C259C2" w:rsidRPr="00235EB0">
        <w:rPr>
          <w:rFonts w:ascii="Arial" w:hAnsi="Arial" w:cs="Arial"/>
          <w:sz w:val="20"/>
          <w:lang w:val="en-CA"/>
        </w:rPr>
        <w:t xml:space="preserve">is </w:t>
      </w:r>
      <w:r w:rsidRPr="00235EB0">
        <w:rPr>
          <w:rFonts w:ascii="Arial" w:hAnsi="Arial" w:cs="Arial"/>
          <w:sz w:val="20"/>
          <w:lang w:val="en-CA"/>
        </w:rPr>
        <w:t xml:space="preserve">rarely paged (low paging probability) if it is sharing WUS UE-group with a UE that </w:t>
      </w:r>
      <w:r w:rsidR="00D43C0A" w:rsidRPr="00235EB0">
        <w:rPr>
          <w:rFonts w:ascii="Arial" w:hAnsi="Arial" w:cs="Arial"/>
          <w:sz w:val="20"/>
          <w:lang w:val="en-CA"/>
        </w:rPr>
        <w:t>is paged</w:t>
      </w:r>
      <w:r w:rsidR="00D43C0A">
        <w:rPr>
          <w:rFonts w:ascii="Arial" w:hAnsi="Arial" w:cs="Arial"/>
          <w:sz w:val="20"/>
          <w:lang w:val="en-CA"/>
        </w:rPr>
        <w:t xml:space="preserve"> often</w:t>
      </w:r>
      <w:r w:rsidR="00D43C0A" w:rsidRPr="00235EB0">
        <w:rPr>
          <w:rFonts w:ascii="Arial" w:hAnsi="Arial" w:cs="Arial"/>
          <w:sz w:val="20"/>
          <w:lang w:val="en-CA"/>
        </w:rPr>
        <w:t xml:space="preserve">. </w:t>
      </w:r>
      <w:r w:rsidR="00D43C0A">
        <w:rPr>
          <w:rFonts w:ascii="Arial" w:hAnsi="Arial" w:cs="Arial"/>
          <w:sz w:val="20"/>
          <w:lang w:val="en-CA"/>
        </w:rPr>
        <w:t xml:space="preserve">A UE with high paging probability will unnecessarily wake up other UEs with low paging probability sharing the same PO. However, if a UE is mobile and cannot be reached by the NW in the last-known cell, the paging will be </w:t>
      </w:r>
      <w:proofErr w:type="gramStart"/>
      <w:r w:rsidR="00D43C0A">
        <w:rPr>
          <w:rFonts w:ascii="Arial" w:hAnsi="Arial" w:cs="Arial"/>
          <w:sz w:val="20"/>
          <w:lang w:val="en-CA"/>
        </w:rPr>
        <w:t>escalated</w:t>
      </w:r>
      <w:proofErr w:type="gramEnd"/>
      <w:r w:rsidR="00D43C0A">
        <w:rPr>
          <w:rFonts w:ascii="Arial" w:hAnsi="Arial" w:cs="Arial"/>
          <w:sz w:val="20"/>
          <w:lang w:val="en-CA"/>
        </w:rPr>
        <w:t xml:space="preserve"> and the paging area will be extended in order to reach the UE. Therefore, instead of only increasing the probability of false paging for UEs in the same cell, a mobile UE can increase the probability of false paging for all UEs in a larger set of cells, sometimes even the entire Tracking Area</w:t>
      </w:r>
      <w:r w:rsidR="00FA27D4">
        <w:rPr>
          <w:rFonts w:ascii="Arial" w:hAnsi="Arial" w:cs="Arial"/>
          <w:sz w:val="20"/>
          <w:lang w:val="en-CA"/>
        </w:rPr>
        <w:t>.</w:t>
      </w:r>
    </w:p>
    <w:p w14:paraId="504534F2" w14:textId="710EB653" w:rsidR="00AF33F4" w:rsidRPr="00F53A11" w:rsidRDefault="00AF33F4" w:rsidP="00D265FE">
      <w:pPr>
        <w:pStyle w:val="Observation"/>
        <w:rPr>
          <w:sz w:val="20"/>
          <w:szCs w:val="20"/>
          <w:lang w:val="en-CA"/>
        </w:rPr>
      </w:pPr>
      <w:bookmarkStart w:id="9" w:name="_Toc4686257"/>
      <w:r w:rsidRPr="00F53A11">
        <w:rPr>
          <w:sz w:val="20"/>
          <w:szCs w:val="20"/>
          <w:lang w:val="en-CA"/>
        </w:rPr>
        <w:t xml:space="preserve">A mobile UE </w:t>
      </w:r>
      <w:r w:rsidR="00252D88" w:rsidRPr="00F53A11">
        <w:rPr>
          <w:sz w:val="20"/>
          <w:szCs w:val="20"/>
          <w:lang w:val="en-CA"/>
        </w:rPr>
        <w:t>may</w:t>
      </w:r>
      <w:r w:rsidRPr="00F53A11">
        <w:rPr>
          <w:sz w:val="20"/>
          <w:szCs w:val="20"/>
          <w:lang w:val="en-CA"/>
        </w:rPr>
        <w:t xml:space="preserve"> increase the false paging rate not only in </w:t>
      </w:r>
      <w:r w:rsidR="00D265FE" w:rsidRPr="00F53A11">
        <w:rPr>
          <w:sz w:val="20"/>
          <w:szCs w:val="20"/>
          <w:lang w:val="en-CA"/>
        </w:rPr>
        <w:t xml:space="preserve">one cell but </w:t>
      </w:r>
      <w:r w:rsidR="006D4FC1" w:rsidRPr="00F53A11">
        <w:rPr>
          <w:sz w:val="20"/>
          <w:szCs w:val="20"/>
          <w:lang w:val="en-CA"/>
        </w:rPr>
        <w:t xml:space="preserve">in </w:t>
      </w:r>
      <w:r w:rsidR="00D265FE" w:rsidRPr="00F53A11">
        <w:rPr>
          <w:sz w:val="20"/>
          <w:szCs w:val="20"/>
          <w:lang w:val="en-CA"/>
        </w:rPr>
        <w:t>the entire Tracking Area.</w:t>
      </w:r>
      <w:bookmarkEnd w:id="9"/>
    </w:p>
    <w:p w14:paraId="42DA362E" w14:textId="306E23B9" w:rsidR="00314A32" w:rsidRPr="0044559D" w:rsidRDefault="00F478CC" w:rsidP="0044559D">
      <w:pPr>
        <w:jc w:val="both"/>
        <w:rPr>
          <w:rFonts w:ascii="Arial" w:hAnsi="Arial" w:cs="Arial"/>
          <w:sz w:val="20"/>
          <w:lang w:val="en-CA"/>
        </w:rPr>
      </w:pPr>
      <w:r w:rsidRPr="00F53A11">
        <w:rPr>
          <w:rFonts w:ascii="Arial" w:hAnsi="Arial" w:cs="Arial"/>
          <w:sz w:val="20"/>
          <w:szCs w:val="20"/>
          <w:lang w:val="en-CA"/>
        </w:rPr>
        <w:t>In our corresponding</w:t>
      </w:r>
      <w:r>
        <w:rPr>
          <w:rFonts w:ascii="Arial" w:hAnsi="Arial" w:cs="Arial"/>
          <w:sz w:val="20"/>
          <w:lang w:val="en-CA"/>
        </w:rPr>
        <w:t xml:space="preserve"> </w:t>
      </w:r>
      <w:r w:rsidR="000B13C0">
        <w:rPr>
          <w:rFonts w:ascii="Arial" w:hAnsi="Arial" w:cs="Arial"/>
          <w:sz w:val="20"/>
          <w:lang w:val="en-CA"/>
        </w:rPr>
        <w:t xml:space="preserve">RAN1 contribution the impact of the number of WUS groups </w:t>
      </w:r>
      <w:r w:rsidR="005C1AFE">
        <w:rPr>
          <w:rFonts w:ascii="Arial" w:hAnsi="Arial" w:cs="Arial"/>
          <w:sz w:val="20"/>
          <w:lang w:val="en-CA"/>
        </w:rPr>
        <w:t xml:space="preserve">on the false paging rate </w:t>
      </w:r>
      <w:r w:rsidR="000B13C0">
        <w:rPr>
          <w:rFonts w:ascii="Arial" w:hAnsi="Arial" w:cs="Arial"/>
          <w:sz w:val="20"/>
          <w:lang w:val="en-CA"/>
        </w:rPr>
        <w:t>is studie</w:t>
      </w:r>
      <w:r w:rsidR="00433A40">
        <w:rPr>
          <w:rFonts w:ascii="Arial" w:hAnsi="Arial" w:cs="Arial"/>
          <w:sz w:val="20"/>
          <w:lang w:val="en-CA"/>
        </w:rPr>
        <w:t>d</w:t>
      </w:r>
      <w:r w:rsidR="005C1AFE">
        <w:rPr>
          <w:rFonts w:ascii="Arial" w:hAnsi="Arial" w:cs="Arial"/>
          <w:sz w:val="20"/>
          <w:lang w:val="en-CA"/>
        </w:rPr>
        <w:t xml:space="preserve">, </w:t>
      </w:r>
      <w:r w:rsidR="00D43C0A">
        <w:rPr>
          <w:rFonts w:ascii="Arial" w:hAnsi="Arial" w:cs="Arial"/>
          <w:sz w:val="20"/>
          <w:lang w:val="en-CA"/>
        </w:rPr>
        <w:t xml:space="preserve">but also the impact due to mobile UEs. When dashed lines are compared to solid </w:t>
      </w:r>
      <w:r w:rsidR="00D43C0A" w:rsidRPr="005055AF">
        <w:rPr>
          <w:rFonts w:ascii="Arial" w:hAnsi="Arial" w:cs="Arial"/>
          <w:sz w:val="20"/>
          <w:szCs w:val="20"/>
          <w:lang w:val="en-CA"/>
        </w:rPr>
        <w:t xml:space="preserve">lines in </w:t>
      </w:r>
      <w:r w:rsidR="00D43C0A" w:rsidRPr="005055AF">
        <w:rPr>
          <w:rFonts w:ascii="Arial" w:hAnsi="Arial" w:cs="Arial"/>
          <w:sz w:val="20"/>
          <w:szCs w:val="20"/>
          <w:lang w:val="en-CA"/>
        </w:rPr>
        <w:fldChar w:fldCharType="begin"/>
      </w:r>
      <w:r w:rsidR="00D43C0A" w:rsidRPr="005055AF">
        <w:rPr>
          <w:rFonts w:ascii="Arial" w:hAnsi="Arial" w:cs="Arial"/>
          <w:sz w:val="20"/>
          <w:szCs w:val="20"/>
          <w:lang w:val="en-CA"/>
        </w:rPr>
        <w:instrText xml:space="preserve"> REF _Ref448830 \h  \* MERGEFORMAT </w:instrText>
      </w:r>
      <w:r w:rsidR="00D43C0A" w:rsidRPr="005055AF">
        <w:rPr>
          <w:rFonts w:ascii="Arial" w:hAnsi="Arial" w:cs="Arial"/>
          <w:sz w:val="20"/>
          <w:szCs w:val="20"/>
          <w:lang w:val="en-CA"/>
        </w:rPr>
      </w:r>
      <w:r w:rsidR="00D43C0A" w:rsidRPr="005055AF">
        <w:rPr>
          <w:rFonts w:ascii="Arial" w:hAnsi="Arial" w:cs="Arial"/>
          <w:sz w:val="20"/>
          <w:szCs w:val="20"/>
          <w:lang w:val="en-CA"/>
        </w:rPr>
        <w:fldChar w:fldCharType="separate"/>
      </w:r>
      <w:r w:rsidR="009D0A97" w:rsidRPr="009D0A97">
        <w:rPr>
          <w:rFonts w:ascii="Arial" w:hAnsi="Arial" w:cs="Arial"/>
          <w:sz w:val="20"/>
          <w:szCs w:val="20"/>
          <w:lang w:val="en-CA"/>
        </w:rPr>
        <w:t xml:space="preserve">Figure </w:t>
      </w:r>
      <w:r w:rsidR="009D0A97" w:rsidRPr="009D0A97">
        <w:rPr>
          <w:rFonts w:ascii="Arial" w:hAnsi="Arial" w:cs="Arial"/>
          <w:noProof/>
          <w:sz w:val="20"/>
          <w:szCs w:val="20"/>
          <w:lang w:val="en-CA"/>
        </w:rPr>
        <w:t>1</w:t>
      </w:r>
      <w:r w:rsidR="00D43C0A" w:rsidRPr="005055AF">
        <w:rPr>
          <w:rFonts w:ascii="Arial" w:hAnsi="Arial" w:cs="Arial"/>
          <w:sz w:val="20"/>
          <w:szCs w:val="20"/>
          <w:lang w:val="en-CA"/>
        </w:rPr>
        <w:fldChar w:fldCharType="end"/>
      </w:r>
      <w:r w:rsidR="00D43C0A" w:rsidRPr="005055AF">
        <w:rPr>
          <w:rFonts w:ascii="Arial" w:hAnsi="Arial" w:cs="Arial"/>
          <w:sz w:val="20"/>
          <w:szCs w:val="20"/>
          <w:lang w:val="en-CA"/>
        </w:rPr>
        <w:t xml:space="preserve"> it</w:t>
      </w:r>
      <w:r w:rsidR="00D43C0A">
        <w:rPr>
          <w:rFonts w:ascii="Arial" w:hAnsi="Arial" w:cs="Arial"/>
          <w:sz w:val="20"/>
          <w:szCs w:val="20"/>
          <w:lang w:val="en-CA"/>
        </w:rPr>
        <w:t xml:space="preserve"> can be observed that false paging rate caused by a mobile UE can be up to two orders of magnitude higher </w:t>
      </w:r>
      <w:r w:rsidR="00D43C0A">
        <w:rPr>
          <w:rFonts w:ascii="Arial" w:hAnsi="Arial" w:cs="Arial"/>
          <w:sz w:val="20"/>
          <w:szCs w:val="20"/>
          <w:lang w:val="en-CA"/>
        </w:rPr>
        <w:lastRenderedPageBreak/>
        <w:t>than that from a stationary UE assuming a Tracking area of 100 eNBs (i.e., roughly corresponding to the number of cells in a Tracking Area)</w:t>
      </w:r>
      <w:r w:rsidR="003E00D1">
        <w:rPr>
          <w:rFonts w:ascii="Arial" w:hAnsi="Arial" w:cs="Arial"/>
          <w:sz w:val="20"/>
          <w:szCs w:val="20"/>
          <w:lang w:val="en-CA"/>
        </w:rPr>
        <w:t>.</w:t>
      </w:r>
      <w:r w:rsidR="00965073">
        <w:rPr>
          <w:rFonts w:ascii="Arial" w:hAnsi="Arial" w:cs="Arial"/>
          <w:sz w:val="20"/>
          <w:szCs w:val="20"/>
          <w:lang w:val="en-CA"/>
        </w:rPr>
        <w:t xml:space="preserve"> </w:t>
      </w:r>
    </w:p>
    <w:p w14:paraId="5DAC427D" w14:textId="347F8CED" w:rsidR="00C92683" w:rsidRDefault="00C92683" w:rsidP="00314A32">
      <w:pPr>
        <w:keepNext/>
        <w:jc w:val="center"/>
      </w:pPr>
      <w:r w:rsidRPr="00AF53F6">
        <w:rPr>
          <w:noProof/>
        </w:rPr>
        <w:drawing>
          <wp:inline distT="0" distB="0" distL="0" distR="0" wp14:anchorId="1C4E3FEF" wp14:editId="0C901BBD">
            <wp:extent cx="5310554" cy="39872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6934" cy="3992018"/>
                    </a:xfrm>
                    <a:prstGeom prst="rect">
                      <a:avLst/>
                    </a:prstGeom>
                    <a:noFill/>
                    <a:ln>
                      <a:noFill/>
                    </a:ln>
                  </pic:spPr>
                </pic:pic>
              </a:graphicData>
            </a:graphic>
          </wp:inline>
        </w:drawing>
      </w:r>
    </w:p>
    <w:p w14:paraId="658ED005" w14:textId="05117319" w:rsidR="00C60705" w:rsidRPr="00A96A30" w:rsidRDefault="00314A32" w:rsidP="00C83BB2">
      <w:pPr>
        <w:pStyle w:val="Caption"/>
        <w:jc w:val="center"/>
        <w:rPr>
          <w:rFonts w:ascii="Arial" w:hAnsi="Arial" w:cs="Arial"/>
          <w:sz w:val="18"/>
          <w:lang w:val="en-CA"/>
        </w:rPr>
      </w:pPr>
      <w:bookmarkStart w:id="10" w:name="_Ref448830"/>
      <w:r w:rsidRPr="00A96A30">
        <w:rPr>
          <w:rFonts w:ascii="Arial" w:hAnsi="Arial" w:cs="Arial"/>
          <w:sz w:val="20"/>
          <w:lang w:val="en-CA"/>
        </w:rPr>
        <w:t xml:space="preserve">Figure </w:t>
      </w:r>
      <w:r w:rsidRPr="00A96A30">
        <w:rPr>
          <w:rFonts w:ascii="Arial" w:hAnsi="Arial" w:cs="Arial"/>
          <w:sz w:val="20"/>
        </w:rPr>
        <w:fldChar w:fldCharType="begin"/>
      </w:r>
      <w:r w:rsidRPr="00A96A30">
        <w:rPr>
          <w:rFonts w:ascii="Arial" w:hAnsi="Arial" w:cs="Arial"/>
          <w:sz w:val="20"/>
          <w:lang w:val="en-CA"/>
        </w:rPr>
        <w:instrText xml:space="preserve"> SEQ Figure \* ARABIC </w:instrText>
      </w:r>
      <w:r w:rsidRPr="00A96A30">
        <w:rPr>
          <w:rFonts w:ascii="Arial" w:hAnsi="Arial" w:cs="Arial"/>
          <w:sz w:val="20"/>
        </w:rPr>
        <w:fldChar w:fldCharType="separate"/>
      </w:r>
      <w:r w:rsidR="009D0A97">
        <w:rPr>
          <w:rFonts w:ascii="Arial" w:hAnsi="Arial" w:cs="Arial"/>
          <w:noProof/>
          <w:sz w:val="20"/>
          <w:lang w:val="en-CA"/>
        </w:rPr>
        <w:t>1</w:t>
      </w:r>
      <w:r w:rsidRPr="00A96A30">
        <w:rPr>
          <w:rFonts w:ascii="Arial" w:hAnsi="Arial" w:cs="Arial"/>
          <w:sz w:val="20"/>
        </w:rPr>
        <w:fldChar w:fldCharType="end"/>
      </w:r>
      <w:bookmarkEnd w:id="10"/>
      <w:r w:rsidRPr="00A96A30">
        <w:rPr>
          <w:rFonts w:ascii="Arial" w:hAnsi="Arial" w:cs="Arial"/>
          <w:sz w:val="20"/>
          <w:lang w:val="en-CA"/>
        </w:rPr>
        <w:t>: False paging rate for the stationary case (solid lines) and mobile case (dashed lines) as a function of the UE paging rate.</w:t>
      </w:r>
    </w:p>
    <w:p w14:paraId="637574B8" w14:textId="770D773F" w:rsidR="00004090" w:rsidRDefault="00147BD7" w:rsidP="00965195">
      <w:pPr>
        <w:spacing w:before="120" w:after="0"/>
        <w:jc w:val="both"/>
        <w:rPr>
          <w:rFonts w:ascii="Arial" w:hAnsi="Arial" w:cs="Arial"/>
          <w:sz w:val="20"/>
          <w:lang w:val="en-CA"/>
        </w:rPr>
      </w:pPr>
      <w:r>
        <w:rPr>
          <w:rFonts w:ascii="Arial" w:hAnsi="Arial" w:cs="Arial"/>
          <w:sz w:val="20"/>
          <w:lang w:val="en-CA"/>
        </w:rPr>
        <w:t xml:space="preserve">Therefore, </w:t>
      </w:r>
      <w:r w:rsidR="00484AC7">
        <w:rPr>
          <w:rFonts w:ascii="Arial" w:hAnsi="Arial" w:cs="Arial"/>
          <w:sz w:val="20"/>
          <w:lang w:val="en-CA"/>
        </w:rPr>
        <w:t>the</w:t>
      </w:r>
      <w:r w:rsidR="00F8199E">
        <w:rPr>
          <w:rFonts w:ascii="Arial" w:hAnsi="Arial" w:cs="Arial"/>
          <w:sz w:val="20"/>
          <w:lang w:val="en-CA"/>
        </w:rPr>
        <w:t>re would be clear</w:t>
      </w:r>
      <w:r w:rsidR="00484AC7">
        <w:rPr>
          <w:rFonts w:ascii="Arial" w:hAnsi="Arial" w:cs="Arial"/>
          <w:sz w:val="20"/>
          <w:lang w:val="en-CA"/>
        </w:rPr>
        <w:t xml:space="preserve"> gains from </w:t>
      </w:r>
      <w:r w:rsidR="00866C08">
        <w:rPr>
          <w:rFonts w:ascii="Arial" w:hAnsi="Arial" w:cs="Arial"/>
          <w:sz w:val="20"/>
          <w:lang w:val="en-CA"/>
        </w:rPr>
        <w:t>having separate treatment for mobile UEs</w:t>
      </w:r>
      <w:r w:rsidR="00FC4166">
        <w:rPr>
          <w:rFonts w:ascii="Arial" w:hAnsi="Arial" w:cs="Arial"/>
          <w:sz w:val="20"/>
          <w:lang w:val="en-CA"/>
        </w:rPr>
        <w:t>.</w:t>
      </w:r>
      <w:r w:rsidR="00FD678D">
        <w:rPr>
          <w:rFonts w:ascii="Arial" w:hAnsi="Arial" w:cs="Arial"/>
          <w:sz w:val="20"/>
          <w:lang w:val="en-CA"/>
        </w:rPr>
        <w:t xml:space="preserve"> </w:t>
      </w:r>
      <w:r w:rsidR="00A34827">
        <w:rPr>
          <w:rFonts w:ascii="Arial" w:hAnsi="Arial" w:cs="Arial"/>
          <w:sz w:val="20"/>
          <w:lang w:val="en-CA"/>
        </w:rPr>
        <w:t xml:space="preserve">As for a practical solution, </w:t>
      </w:r>
      <w:r w:rsidR="007F164F">
        <w:rPr>
          <w:rFonts w:ascii="Arial" w:hAnsi="Arial" w:cs="Arial"/>
          <w:sz w:val="20"/>
          <w:lang w:val="en-CA"/>
        </w:rPr>
        <w:t xml:space="preserve">one WUS group could be </w:t>
      </w:r>
      <w:r w:rsidR="008405C8">
        <w:rPr>
          <w:rFonts w:ascii="Arial" w:hAnsi="Arial" w:cs="Arial"/>
          <w:sz w:val="20"/>
          <w:lang w:val="en-CA"/>
        </w:rPr>
        <w:t xml:space="preserve">configured to be </w:t>
      </w:r>
      <w:r w:rsidR="007F164F">
        <w:rPr>
          <w:rFonts w:ascii="Arial" w:hAnsi="Arial" w:cs="Arial"/>
          <w:sz w:val="20"/>
          <w:lang w:val="en-CA"/>
        </w:rPr>
        <w:t xml:space="preserve">reserved for </w:t>
      </w:r>
      <w:r w:rsidR="008405C8">
        <w:rPr>
          <w:rFonts w:ascii="Arial" w:hAnsi="Arial" w:cs="Arial"/>
          <w:sz w:val="20"/>
          <w:lang w:val="en-CA"/>
        </w:rPr>
        <w:t xml:space="preserve">mobile UEs. The definition of a mobile UE would be a UE not monitoring paging in its “last known cell”, </w:t>
      </w:r>
      <w:r w:rsidR="00514A84">
        <w:rPr>
          <w:rFonts w:ascii="Arial" w:hAnsi="Arial" w:cs="Arial"/>
          <w:sz w:val="20"/>
          <w:lang w:val="en-CA"/>
        </w:rPr>
        <w:t>where the latter corresponds to the last reporting of UEs whereabouts to the NW</w:t>
      </w:r>
      <w:r w:rsidR="00F14B5B">
        <w:rPr>
          <w:rFonts w:ascii="Arial" w:hAnsi="Arial" w:cs="Arial"/>
          <w:sz w:val="20"/>
          <w:lang w:val="en-CA"/>
        </w:rPr>
        <w:t>, e.g. given by the IE ‘</w:t>
      </w:r>
      <w:r w:rsidR="00F14B5B" w:rsidRPr="00F14B5B">
        <w:rPr>
          <w:rFonts w:ascii="Arial" w:hAnsi="Arial" w:cs="Arial"/>
          <w:i/>
          <w:sz w:val="20"/>
          <w:lang w:val="en-CA"/>
        </w:rPr>
        <w:t>Cell Identifier and Coverage Enhancement Level</w:t>
      </w:r>
      <w:r w:rsidR="00F14B5B">
        <w:rPr>
          <w:rFonts w:ascii="Arial" w:hAnsi="Arial" w:cs="Arial"/>
          <w:sz w:val="20"/>
          <w:lang w:val="en-CA"/>
        </w:rPr>
        <w:t xml:space="preserve">’ in </w:t>
      </w:r>
      <w:r w:rsidR="00F14B5B" w:rsidRPr="00F14B5B">
        <w:rPr>
          <w:rFonts w:ascii="Arial" w:hAnsi="Arial" w:cs="Arial"/>
          <w:sz w:val="20"/>
          <w:lang w:val="en-CA"/>
        </w:rPr>
        <w:t>TS 36.413</w:t>
      </w:r>
      <w:r w:rsidR="00F14B5B">
        <w:rPr>
          <w:rFonts w:ascii="Arial" w:hAnsi="Arial" w:cs="Arial"/>
          <w:sz w:val="20"/>
          <w:lang w:val="en-CA"/>
        </w:rPr>
        <w:t>.</w:t>
      </w:r>
      <w:r w:rsidR="00EE0342">
        <w:rPr>
          <w:rFonts w:ascii="Arial" w:hAnsi="Arial" w:cs="Arial"/>
          <w:sz w:val="20"/>
          <w:lang w:val="en-CA"/>
        </w:rPr>
        <w:t xml:space="preserve"> </w:t>
      </w:r>
      <w:r w:rsidR="00D43C0A">
        <w:rPr>
          <w:rFonts w:ascii="Arial" w:hAnsi="Arial" w:cs="Arial"/>
          <w:sz w:val="20"/>
          <w:lang w:val="en-CA"/>
        </w:rPr>
        <w:t>This is the cell where UE established its last connection prior to monitoring for paging.</w:t>
      </w:r>
    </w:p>
    <w:p w14:paraId="4F8C094F" w14:textId="15074044" w:rsidR="00C0279E" w:rsidRDefault="00EE0342" w:rsidP="00496C9E">
      <w:pPr>
        <w:spacing w:after="0"/>
        <w:ind w:firstLine="567"/>
        <w:jc w:val="both"/>
        <w:rPr>
          <w:rFonts w:ascii="Arial" w:hAnsi="Arial" w:cs="Arial"/>
          <w:sz w:val="20"/>
          <w:lang w:val="en-CA"/>
        </w:rPr>
      </w:pPr>
      <w:r>
        <w:rPr>
          <w:rFonts w:ascii="Arial" w:hAnsi="Arial" w:cs="Arial"/>
          <w:sz w:val="20"/>
          <w:lang w:val="en-CA"/>
        </w:rPr>
        <w:t>For a UE this would mean that if it is monitoring paging in its “last known cell” it will use the ordinary procedure</w:t>
      </w:r>
      <w:r w:rsidR="00C80B50">
        <w:rPr>
          <w:rFonts w:ascii="Arial" w:hAnsi="Arial" w:cs="Arial"/>
          <w:sz w:val="20"/>
          <w:lang w:val="en-CA"/>
        </w:rPr>
        <w:t xml:space="preserve">, i.e. monitor the WUS group as determined by its UE_ID. If it is monitoring paging in any other cell, </w:t>
      </w:r>
      <w:r w:rsidR="00004090">
        <w:rPr>
          <w:rFonts w:ascii="Arial" w:hAnsi="Arial" w:cs="Arial"/>
          <w:sz w:val="20"/>
          <w:lang w:val="en-CA"/>
        </w:rPr>
        <w:t>it will monitor the WUS mobility group instead (before any TAU</w:t>
      </w:r>
      <w:r w:rsidR="00E31352">
        <w:rPr>
          <w:rFonts w:ascii="Arial" w:hAnsi="Arial" w:cs="Arial"/>
          <w:sz w:val="20"/>
          <w:lang w:val="en-CA"/>
        </w:rPr>
        <w:t>,</w:t>
      </w:r>
      <w:r w:rsidR="00004090">
        <w:rPr>
          <w:rFonts w:ascii="Arial" w:hAnsi="Arial" w:cs="Arial"/>
          <w:sz w:val="20"/>
          <w:lang w:val="en-CA"/>
        </w:rPr>
        <w:t xml:space="preserve"> NAS signaling</w:t>
      </w:r>
      <w:r w:rsidR="00E31352">
        <w:rPr>
          <w:rFonts w:ascii="Arial" w:hAnsi="Arial" w:cs="Arial"/>
          <w:sz w:val="20"/>
          <w:lang w:val="en-CA"/>
        </w:rPr>
        <w:t>, or connection</w:t>
      </w:r>
      <w:r w:rsidR="00004090">
        <w:rPr>
          <w:rFonts w:ascii="Arial" w:hAnsi="Arial" w:cs="Arial"/>
          <w:sz w:val="20"/>
          <w:lang w:val="en-CA"/>
        </w:rPr>
        <w:t xml:space="preserve"> which would update the “last known cell” that is).</w:t>
      </w:r>
    </w:p>
    <w:p w14:paraId="1728174A" w14:textId="36A04012" w:rsidR="00154969" w:rsidRDefault="00154969" w:rsidP="004A5224">
      <w:pPr>
        <w:spacing w:after="0"/>
        <w:ind w:firstLine="567"/>
        <w:jc w:val="both"/>
        <w:rPr>
          <w:rFonts w:ascii="Arial" w:hAnsi="Arial" w:cs="Arial"/>
          <w:sz w:val="20"/>
          <w:lang w:val="en-CA"/>
        </w:rPr>
      </w:pPr>
      <w:r>
        <w:rPr>
          <w:rFonts w:ascii="Arial" w:hAnsi="Arial" w:cs="Arial"/>
          <w:sz w:val="20"/>
          <w:lang w:val="en-CA"/>
        </w:rPr>
        <w:t xml:space="preserve">For the NW this would mean if the UE is paged in its “last known cell” the ordinary procedure is used, i.e. </w:t>
      </w:r>
      <w:r w:rsidR="00342F3D">
        <w:rPr>
          <w:rFonts w:ascii="Arial" w:hAnsi="Arial" w:cs="Arial"/>
          <w:sz w:val="20"/>
          <w:lang w:val="en-CA"/>
        </w:rPr>
        <w:t>the UE is paged in the</w:t>
      </w:r>
      <w:r>
        <w:rPr>
          <w:rFonts w:ascii="Arial" w:hAnsi="Arial" w:cs="Arial"/>
          <w:sz w:val="20"/>
          <w:lang w:val="en-CA"/>
        </w:rPr>
        <w:t xml:space="preserve"> WUS group as determined by its UE_ID.</w:t>
      </w:r>
      <w:r w:rsidR="00342F3D">
        <w:rPr>
          <w:rFonts w:ascii="Arial" w:hAnsi="Arial" w:cs="Arial"/>
          <w:sz w:val="20"/>
          <w:lang w:val="en-CA"/>
        </w:rPr>
        <w:t xml:space="preserve"> If the UE is paged in any other cell, it will be paged using the WUS mobility group instead (again, before any </w:t>
      </w:r>
      <w:r w:rsidR="00EB3A13">
        <w:rPr>
          <w:rFonts w:ascii="Arial" w:hAnsi="Arial" w:cs="Arial"/>
          <w:sz w:val="20"/>
          <w:lang w:val="en-CA"/>
        </w:rPr>
        <w:t>TAU</w:t>
      </w:r>
      <w:r w:rsidR="008F5B40">
        <w:rPr>
          <w:rFonts w:ascii="Arial" w:hAnsi="Arial" w:cs="Arial"/>
          <w:sz w:val="20"/>
          <w:lang w:val="en-CA"/>
        </w:rPr>
        <w:t>,</w:t>
      </w:r>
      <w:r w:rsidR="00EB3A13">
        <w:rPr>
          <w:rFonts w:ascii="Arial" w:hAnsi="Arial" w:cs="Arial"/>
          <w:sz w:val="20"/>
          <w:lang w:val="en-CA"/>
        </w:rPr>
        <w:t xml:space="preserve"> NAS signaling</w:t>
      </w:r>
      <w:r w:rsidR="008F5B40">
        <w:rPr>
          <w:rFonts w:ascii="Arial" w:hAnsi="Arial" w:cs="Arial"/>
          <w:sz w:val="20"/>
          <w:lang w:val="en-CA"/>
        </w:rPr>
        <w:t>, or connection</w:t>
      </w:r>
      <w:r w:rsidR="00EB3A13">
        <w:rPr>
          <w:rFonts w:ascii="Arial" w:hAnsi="Arial" w:cs="Arial"/>
          <w:sz w:val="20"/>
          <w:lang w:val="en-CA"/>
        </w:rPr>
        <w:t xml:space="preserve"> which will make the UE’s cell known to the NW).</w:t>
      </w:r>
    </w:p>
    <w:p w14:paraId="74992D47" w14:textId="77777777" w:rsidR="0084688A" w:rsidRDefault="0084688A" w:rsidP="0084688A">
      <w:pPr>
        <w:keepNext/>
        <w:spacing w:after="0"/>
        <w:ind w:firstLine="567"/>
        <w:jc w:val="both"/>
      </w:pPr>
      <w:r>
        <w:rPr>
          <w:rFonts w:ascii="Arial" w:hAnsi="Arial" w:cs="Arial"/>
          <w:noProof/>
          <w:sz w:val="20"/>
          <w:lang w:val="en-CA"/>
        </w:rPr>
        <w:lastRenderedPageBreak/>
        <w:drawing>
          <wp:inline distT="0" distB="0" distL="0" distR="0" wp14:anchorId="00E0C8D3" wp14:editId="2EE6E486">
            <wp:extent cx="5418708" cy="270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44080" cy="2719228"/>
                    </a:xfrm>
                    <a:prstGeom prst="rect">
                      <a:avLst/>
                    </a:prstGeom>
                    <a:noFill/>
                  </pic:spPr>
                </pic:pic>
              </a:graphicData>
            </a:graphic>
          </wp:inline>
        </w:drawing>
      </w:r>
    </w:p>
    <w:p w14:paraId="291109DE" w14:textId="381AA607" w:rsidR="00AA6F8F" w:rsidRPr="0044765B" w:rsidRDefault="0084688A" w:rsidP="00AA6F8F">
      <w:pPr>
        <w:pStyle w:val="Caption"/>
        <w:jc w:val="both"/>
        <w:rPr>
          <w:rFonts w:ascii="Arial" w:hAnsi="Arial" w:cs="Arial"/>
          <w:sz w:val="20"/>
          <w:lang w:val="en-CA"/>
        </w:rPr>
      </w:pPr>
      <w:r w:rsidRPr="0044765B">
        <w:rPr>
          <w:rFonts w:ascii="Arial" w:hAnsi="Arial" w:cs="Arial"/>
          <w:sz w:val="20"/>
          <w:lang w:val="en-CA"/>
        </w:rPr>
        <w:t xml:space="preserve">Figure </w:t>
      </w:r>
      <w:r w:rsidRPr="00A96A30">
        <w:rPr>
          <w:rFonts w:ascii="Arial" w:hAnsi="Arial" w:cs="Arial"/>
          <w:sz w:val="20"/>
        </w:rPr>
        <w:fldChar w:fldCharType="begin"/>
      </w:r>
      <w:r w:rsidRPr="0044765B">
        <w:rPr>
          <w:rFonts w:ascii="Arial" w:hAnsi="Arial" w:cs="Arial"/>
          <w:sz w:val="20"/>
          <w:lang w:val="en-CA"/>
        </w:rPr>
        <w:instrText xml:space="preserve"> SEQ Figure \* ARABIC </w:instrText>
      </w:r>
      <w:r w:rsidRPr="00A96A30">
        <w:rPr>
          <w:rFonts w:ascii="Arial" w:hAnsi="Arial" w:cs="Arial"/>
          <w:sz w:val="20"/>
        </w:rPr>
        <w:fldChar w:fldCharType="separate"/>
      </w:r>
      <w:r w:rsidR="009D0A97">
        <w:rPr>
          <w:rFonts w:ascii="Arial" w:hAnsi="Arial" w:cs="Arial"/>
          <w:noProof/>
          <w:sz w:val="20"/>
          <w:lang w:val="en-CA"/>
        </w:rPr>
        <w:t>2</w:t>
      </w:r>
      <w:r w:rsidRPr="00A96A30">
        <w:rPr>
          <w:rFonts w:ascii="Arial" w:hAnsi="Arial" w:cs="Arial"/>
          <w:sz w:val="20"/>
        </w:rPr>
        <w:fldChar w:fldCharType="end"/>
      </w:r>
      <w:r w:rsidRPr="0044765B">
        <w:rPr>
          <w:rFonts w:ascii="Arial" w:hAnsi="Arial" w:cs="Arial"/>
          <w:sz w:val="20"/>
          <w:lang w:val="en-CA"/>
        </w:rPr>
        <w:t>: Illustration of mobility WUS group monitoring in A) the last-known cell, and B) any other cell.</w:t>
      </w:r>
    </w:p>
    <w:p w14:paraId="2846CD79" w14:textId="269E98B6" w:rsidR="007474FC" w:rsidRDefault="007474FC" w:rsidP="00AA6F8F">
      <w:pPr>
        <w:spacing w:before="120" w:after="0"/>
        <w:ind w:firstLine="567"/>
        <w:jc w:val="both"/>
        <w:rPr>
          <w:rFonts w:ascii="Arial" w:hAnsi="Arial" w:cs="Arial"/>
          <w:sz w:val="20"/>
          <w:lang w:val="en-CA"/>
        </w:rPr>
      </w:pPr>
      <w:r>
        <w:rPr>
          <w:rFonts w:ascii="Arial" w:hAnsi="Arial" w:cs="Arial"/>
          <w:sz w:val="20"/>
          <w:lang w:val="en-CA"/>
        </w:rPr>
        <w:t>In this way</w:t>
      </w:r>
      <w:r w:rsidR="00C20739">
        <w:rPr>
          <w:rFonts w:ascii="Arial" w:hAnsi="Arial" w:cs="Arial"/>
          <w:sz w:val="20"/>
          <w:lang w:val="en-CA"/>
        </w:rPr>
        <w:t xml:space="preserve">, </w:t>
      </w:r>
      <w:r w:rsidR="003C31E0">
        <w:rPr>
          <w:rFonts w:ascii="Arial" w:hAnsi="Arial" w:cs="Arial"/>
          <w:sz w:val="20"/>
          <w:lang w:val="en-CA"/>
        </w:rPr>
        <w:t>it will be ensure</w:t>
      </w:r>
      <w:r w:rsidR="004A5224">
        <w:rPr>
          <w:rFonts w:ascii="Arial" w:hAnsi="Arial" w:cs="Arial"/>
          <w:sz w:val="20"/>
          <w:lang w:val="en-CA"/>
        </w:rPr>
        <w:t>d</w:t>
      </w:r>
      <w:r w:rsidR="003C31E0">
        <w:rPr>
          <w:rFonts w:ascii="Arial" w:hAnsi="Arial" w:cs="Arial"/>
          <w:sz w:val="20"/>
          <w:lang w:val="en-CA"/>
        </w:rPr>
        <w:t xml:space="preserve"> that </w:t>
      </w:r>
      <w:r w:rsidR="00C20739">
        <w:rPr>
          <w:rFonts w:ascii="Arial" w:hAnsi="Arial" w:cs="Arial"/>
          <w:sz w:val="20"/>
          <w:lang w:val="en-CA"/>
        </w:rPr>
        <w:t>a</w:t>
      </w:r>
      <w:r w:rsidR="003C31E0">
        <w:rPr>
          <w:rFonts w:ascii="Arial" w:hAnsi="Arial" w:cs="Arial"/>
          <w:sz w:val="20"/>
          <w:lang w:val="en-CA"/>
        </w:rPr>
        <w:t xml:space="preserve"> UE that re-selects cell will not cause false paging for UE is </w:t>
      </w:r>
      <w:r w:rsidR="004A5224">
        <w:rPr>
          <w:rFonts w:ascii="Arial" w:hAnsi="Arial" w:cs="Arial"/>
          <w:sz w:val="20"/>
          <w:lang w:val="en-CA"/>
        </w:rPr>
        <w:t>multiple cells, up to the entire Tracking Area.</w:t>
      </w:r>
    </w:p>
    <w:p w14:paraId="71B8A179" w14:textId="77777777" w:rsidR="004A5224" w:rsidRDefault="004A5224" w:rsidP="004A5224">
      <w:pPr>
        <w:spacing w:after="0"/>
        <w:ind w:firstLine="567"/>
        <w:jc w:val="both"/>
        <w:rPr>
          <w:rFonts w:ascii="Arial" w:hAnsi="Arial" w:cs="Arial"/>
          <w:sz w:val="20"/>
          <w:lang w:val="en-CA"/>
        </w:rPr>
      </w:pPr>
    </w:p>
    <w:p w14:paraId="78C0BD5F" w14:textId="0E7AE3CD" w:rsidR="001F6498" w:rsidRPr="00F53A11" w:rsidRDefault="00965195" w:rsidP="00FE4BCB">
      <w:pPr>
        <w:pStyle w:val="Proposal"/>
        <w:rPr>
          <w:sz w:val="20"/>
          <w:lang w:val="en-CA"/>
        </w:rPr>
      </w:pPr>
      <w:bookmarkStart w:id="11" w:name="_Toc4686261"/>
      <w:r w:rsidRPr="00F53A11">
        <w:rPr>
          <w:sz w:val="20"/>
          <w:lang w:val="en-CA"/>
        </w:rPr>
        <w:t xml:space="preserve">A configurable mobility WUS group is supported </w:t>
      </w:r>
      <w:r w:rsidR="003E3FC7" w:rsidRPr="00F53A11">
        <w:rPr>
          <w:sz w:val="20"/>
          <w:lang w:val="en-CA"/>
        </w:rPr>
        <w:t xml:space="preserve">which can be used for paging in all other cells than the </w:t>
      </w:r>
      <w:r w:rsidR="006C685A" w:rsidRPr="00F53A11">
        <w:rPr>
          <w:sz w:val="20"/>
          <w:lang w:val="en-CA"/>
        </w:rPr>
        <w:t>last-known cell (</w:t>
      </w:r>
      <w:r w:rsidR="00CD491C" w:rsidRPr="00F53A11">
        <w:rPr>
          <w:sz w:val="20"/>
          <w:lang w:val="en-CA"/>
        </w:rPr>
        <w:t xml:space="preserve">i.e. </w:t>
      </w:r>
      <w:r w:rsidR="0075428B" w:rsidRPr="00F53A11">
        <w:rPr>
          <w:sz w:val="20"/>
          <w:lang w:val="en-CA"/>
        </w:rPr>
        <w:t xml:space="preserve">the last </w:t>
      </w:r>
      <w:r w:rsidR="00CD491C" w:rsidRPr="00F53A11">
        <w:rPr>
          <w:sz w:val="20"/>
          <w:lang w:val="en-CA"/>
        </w:rPr>
        <w:t>cell the UE were in RRC_CONNECTED</w:t>
      </w:r>
      <w:r w:rsidR="006C685A" w:rsidRPr="00F53A11">
        <w:rPr>
          <w:sz w:val="20"/>
          <w:lang w:val="en-CA"/>
        </w:rPr>
        <w:t>).</w:t>
      </w:r>
      <w:bookmarkEnd w:id="11"/>
      <w:r w:rsidR="006C685A" w:rsidRPr="00F53A11">
        <w:rPr>
          <w:sz w:val="20"/>
          <w:lang w:val="en-CA"/>
        </w:rPr>
        <w:t xml:space="preserve"> </w:t>
      </w:r>
    </w:p>
    <w:p w14:paraId="77EA1F65" w14:textId="15AA80E9" w:rsidR="007A333A" w:rsidRPr="00F53A11" w:rsidRDefault="007A333A" w:rsidP="00235EB0">
      <w:pPr>
        <w:pStyle w:val="Proposal"/>
        <w:numPr>
          <w:ilvl w:val="0"/>
          <w:numId w:val="0"/>
        </w:numPr>
        <w:rPr>
          <w:rFonts w:cs="Arial"/>
          <w:sz w:val="18"/>
          <w:lang w:val="x-none" w:eastAsia="en-US"/>
        </w:rPr>
      </w:pPr>
    </w:p>
    <w:p w14:paraId="72836229" w14:textId="7915582D" w:rsidR="00585A27" w:rsidRPr="001F15BD" w:rsidRDefault="00585A27" w:rsidP="00585A27">
      <w:pPr>
        <w:pStyle w:val="Heading2"/>
        <w:rPr>
          <w:lang w:val="en-US"/>
        </w:rPr>
      </w:pPr>
      <w:r>
        <w:rPr>
          <w:lang w:val="en-US"/>
        </w:rPr>
        <w:t>2.2</w:t>
      </w:r>
      <w:r>
        <w:rPr>
          <w:lang w:val="en-US"/>
        </w:rPr>
        <w:tab/>
        <w:t>Paging multiplexing</w:t>
      </w:r>
    </w:p>
    <w:p w14:paraId="3559B595" w14:textId="77777777" w:rsidR="00585A27" w:rsidRPr="00235EB0" w:rsidRDefault="00585A27" w:rsidP="00585A27">
      <w:pPr>
        <w:jc w:val="both"/>
        <w:rPr>
          <w:rFonts w:ascii="Arial" w:hAnsi="Arial" w:cs="Arial"/>
          <w:sz w:val="20"/>
          <w:lang w:val="en-CA"/>
        </w:rPr>
      </w:pPr>
      <w:r w:rsidRPr="00235EB0">
        <w:rPr>
          <w:rFonts w:ascii="Arial" w:hAnsi="Arial" w:cs="Arial"/>
          <w:sz w:val="20"/>
          <w:lang w:val="en-CA"/>
        </w:rPr>
        <w:t xml:space="preserve">The RAN2 agreement “The aim of UE grouping for WUS is reducing the false alarm probability” makes it clear that the gain for Rel-16 WUS grouping compared to Rel-15 </w:t>
      </w:r>
      <w:r>
        <w:rPr>
          <w:rFonts w:ascii="Arial" w:hAnsi="Arial" w:cs="Arial"/>
          <w:sz w:val="20"/>
          <w:lang w:val="en-CA"/>
        </w:rPr>
        <w:t xml:space="preserve">WUS </w:t>
      </w:r>
      <w:r w:rsidRPr="00235EB0">
        <w:rPr>
          <w:rFonts w:ascii="Arial" w:hAnsi="Arial" w:cs="Arial"/>
          <w:sz w:val="20"/>
          <w:lang w:val="en-CA"/>
        </w:rPr>
        <w:t>comes from reducing the false paging probability.</w:t>
      </w:r>
      <w:r>
        <w:rPr>
          <w:rFonts w:ascii="Arial" w:hAnsi="Arial" w:cs="Arial"/>
          <w:sz w:val="20"/>
          <w:lang w:val="en-CA"/>
        </w:rPr>
        <w:t xml:space="preserve"> I.e. the probability that a UE is unnecessarily woken up by the paging to another UE.</w:t>
      </w:r>
      <w:r w:rsidRPr="00235EB0">
        <w:rPr>
          <w:rFonts w:ascii="Arial" w:hAnsi="Arial" w:cs="Arial"/>
          <w:sz w:val="20"/>
          <w:lang w:val="en-CA"/>
        </w:rPr>
        <w:t xml:space="preserve"> Therefore, </w:t>
      </w:r>
      <w:proofErr w:type="gramStart"/>
      <w:r w:rsidRPr="00235EB0">
        <w:rPr>
          <w:rFonts w:ascii="Arial" w:hAnsi="Arial" w:cs="Arial"/>
          <w:sz w:val="20"/>
          <w:lang w:val="en-CA"/>
        </w:rPr>
        <w:t>in order to</w:t>
      </w:r>
      <w:proofErr w:type="gramEnd"/>
      <w:r w:rsidRPr="00235EB0">
        <w:rPr>
          <w:rFonts w:ascii="Arial" w:hAnsi="Arial" w:cs="Arial"/>
          <w:sz w:val="20"/>
          <w:lang w:val="en-CA"/>
        </w:rPr>
        <w:t xml:space="preserve"> have any gains at all a Rel-16 Group-WUS UE cannot be woken up every time a Rel-15 WUS is transmitted.</w:t>
      </w:r>
    </w:p>
    <w:p w14:paraId="4D97E42E" w14:textId="77777777" w:rsidR="00585A27" w:rsidRPr="00A53004" w:rsidRDefault="00585A27" w:rsidP="00585A27">
      <w:pPr>
        <w:pStyle w:val="Proposal"/>
        <w:rPr>
          <w:rFonts w:cs="Arial"/>
          <w:sz w:val="20"/>
          <w:lang w:val="en-CA" w:eastAsia="en-US"/>
        </w:rPr>
      </w:pPr>
      <w:bookmarkStart w:id="12" w:name="_Toc525131966"/>
      <w:bookmarkStart w:id="13" w:name="_Toc525822564"/>
      <w:bookmarkStart w:id="14" w:name="_Toc525822581"/>
      <w:bookmarkStart w:id="15" w:name="_Toc525834869"/>
      <w:bookmarkStart w:id="16" w:name="_Ref528577612"/>
      <w:bookmarkStart w:id="17" w:name="_Toc4686262"/>
      <w:r>
        <w:rPr>
          <w:rFonts w:cs="Arial"/>
          <w:sz w:val="20"/>
          <w:lang w:val="en-CA" w:eastAsia="en-US"/>
        </w:rPr>
        <w:t xml:space="preserve">Paging </w:t>
      </w:r>
      <w:r w:rsidRPr="00235EB0">
        <w:rPr>
          <w:rFonts w:cs="Arial"/>
          <w:sz w:val="20"/>
          <w:lang w:val="en-CA" w:eastAsia="en-US"/>
        </w:rPr>
        <w:t xml:space="preserve">Rel-15 WUS </w:t>
      </w:r>
      <w:r>
        <w:rPr>
          <w:rFonts w:cs="Arial"/>
          <w:sz w:val="20"/>
          <w:lang w:val="en-CA" w:eastAsia="en-US"/>
        </w:rPr>
        <w:t xml:space="preserve">UEs </w:t>
      </w:r>
      <w:r w:rsidRPr="00235EB0">
        <w:rPr>
          <w:rFonts w:cs="Arial"/>
          <w:sz w:val="20"/>
          <w:lang w:val="en-CA" w:eastAsia="en-US"/>
        </w:rPr>
        <w:t>should not cause Rel-16 Group-WUS UEs to wake up to monitor paging.</w:t>
      </w:r>
      <w:bookmarkEnd w:id="12"/>
      <w:bookmarkEnd w:id="13"/>
      <w:bookmarkEnd w:id="14"/>
      <w:bookmarkEnd w:id="15"/>
      <w:bookmarkEnd w:id="16"/>
      <w:bookmarkEnd w:id="17"/>
      <w:r>
        <w:rPr>
          <w:rFonts w:cs="Arial"/>
          <w:sz w:val="20"/>
          <w:lang w:val="en-CA" w:eastAsia="en-US"/>
        </w:rPr>
        <w:t xml:space="preserve"> </w:t>
      </w:r>
    </w:p>
    <w:p w14:paraId="57198463" w14:textId="77777777" w:rsidR="00585A27" w:rsidRDefault="00585A27" w:rsidP="00585A27">
      <w:pPr>
        <w:jc w:val="both"/>
        <w:rPr>
          <w:rFonts w:ascii="Arial" w:hAnsi="Arial" w:cs="Arial"/>
          <w:sz w:val="20"/>
          <w:lang w:val="en-CA"/>
        </w:rPr>
      </w:pPr>
      <w:r w:rsidRPr="00235EB0">
        <w:rPr>
          <w:rFonts w:ascii="Arial" w:hAnsi="Arial" w:cs="Arial"/>
          <w:sz w:val="20"/>
          <w:lang w:val="en-CA"/>
        </w:rPr>
        <w:t xml:space="preserve">At other times, it is in the interest of the network to wake several UEs up at a time, either for common paging or for multiplexing. Both address the ‘improved DL transmission efficiency’-part of the WI-objective. Starting with common paging, e.g. SI change notification which must reach all UEs, it is not feasible if the eNB must page all WUS UE-groups individually. </w:t>
      </w:r>
      <w:r>
        <w:rPr>
          <w:rFonts w:ascii="Arial" w:hAnsi="Arial" w:cs="Arial"/>
          <w:sz w:val="20"/>
          <w:lang w:val="en-CA"/>
        </w:rPr>
        <w:t>RAN1 has made the following related agreement:</w:t>
      </w:r>
    </w:p>
    <w:p w14:paraId="08F8B557" w14:textId="77777777" w:rsidR="00585A27" w:rsidRPr="00F40738" w:rsidRDefault="00585A27" w:rsidP="00585A27">
      <w:pPr>
        <w:autoSpaceDE w:val="0"/>
        <w:autoSpaceDN w:val="0"/>
        <w:spacing w:after="0" w:line="240" w:lineRule="auto"/>
        <w:ind w:left="1287" w:hanging="720"/>
        <w:rPr>
          <w:rFonts w:ascii="Times New Roman" w:eastAsia="Times New Roman" w:hAnsi="Times New Roman" w:cs="Times New Roman"/>
          <w:b/>
          <w:sz w:val="20"/>
          <w:szCs w:val="20"/>
          <w:lang w:val="en-GB"/>
        </w:rPr>
      </w:pPr>
      <w:r w:rsidRPr="00F40738">
        <w:rPr>
          <w:rFonts w:ascii="Times New Roman" w:eastAsia="Times New Roman" w:hAnsi="Times New Roman" w:cs="Times New Roman"/>
          <w:b/>
          <w:sz w:val="20"/>
          <w:szCs w:val="20"/>
          <w:highlight w:val="green"/>
          <w:lang w:val="en-GB"/>
        </w:rPr>
        <w:t>Agreement</w:t>
      </w:r>
    </w:p>
    <w:p w14:paraId="4851893F" w14:textId="77777777" w:rsidR="00585A27" w:rsidRPr="00F40738" w:rsidRDefault="00585A27" w:rsidP="00585A27">
      <w:pPr>
        <w:spacing w:after="0" w:line="240" w:lineRule="auto"/>
        <w:ind w:left="567"/>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B0B0A07" w14:textId="77777777" w:rsidR="00585A27" w:rsidRDefault="00585A27" w:rsidP="00585A27">
      <w:pPr>
        <w:numPr>
          <w:ilvl w:val="0"/>
          <w:numId w:val="43"/>
        </w:numPr>
        <w:spacing w:after="0" w:line="240" w:lineRule="auto"/>
        <w:ind w:left="1287"/>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718CAE11" w14:textId="77777777" w:rsidR="00585A27" w:rsidRDefault="00585A27" w:rsidP="00585A27">
      <w:pPr>
        <w:numPr>
          <w:ilvl w:val="0"/>
          <w:numId w:val="43"/>
        </w:numPr>
        <w:spacing w:after="0" w:line="240" w:lineRule="auto"/>
        <w:ind w:left="1287"/>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3CFEC85F" w14:textId="77777777" w:rsidR="00585A27" w:rsidRDefault="00585A27" w:rsidP="00585A27">
      <w:pPr>
        <w:jc w:val="both"/>
        <w:rPr>
          <w:rFonts w:ascii="Arial" w:hAnsi="Arial" w:cs="Arial"/>
          <w:sz w:val="20"/>
          <w:lang w:val="en-GB"/>
        </w:rPr>
      </w:pPr>
    </w:p>
    <w:p w14:paraId="1559CAA4" w14:textId="77777777" w:rsidR="00585A27" w:rsidRPr="00F624A9" w:rsidRDefault="00585A27" w:rsidP="00585A27">
      <w:pPr>
        <w:jc w:val="both"/>
        <w:rPr>
          <w:rFonts w:ascii="Arial" w:hAnsi="Arial" w:cs="Arial"/>
          <w:sz w:val="20"/>
          <w:szCs w:val="20"/>
          <w:lang w:val="en-CA"/>
        </w:rPr>
      </w:pPr>
      <w:r>
        <w:rPr>
          <w:rFonts w:ascii="Arial" w:hAnsi="Arial" w:cs="Arial"/>
          <w:sz w:val="20"/>
          <w:lang w:val="en-CA"/>
        </w:rPr>
        <w:t xml:space="preserve">This common WUS can be used for common paging such as SI change notification etc. But as pointed out since different WUS groups may use different time-frequency resources the common WUS may still have to be transmitted in multiple occasions during the </w:t>
      </w:r>
      <w:r w:rsidRPr="00F624A9">
        <w:rPr>
          <w:rFonts w:ascii="Arial" w:hAnsi="Arial" w:cs="Arial"/>
          <w:sz w:val="20"/>
          <w:szCs w:val="20"/>
          <w:lang w:val="en-CA"/>
        </w:rPr>
        <w:t>BCCH modification period.</w:t>
      </w:r>
    </w:p>
    <w:p w14:paraId="30BFBF29" w14:textId="77777777" w:rsidR="00585A27" w:rsidRPr="00F624A9" w:rsidRDefault="00585A27" w:rsidP="00585A27">
      <w:pPr>
        <w:pStyle w:val="Observation"/>
        <w:rPr>
          <w:sz w:val="20"/>
          <w:szCs w:val="20"/>
          <w:lang w:val="en-CA"/>
        </w:rPr>
      </w:pPr>
      <w:bookmarkStart w:id="18" w:name="_Toc4686258"/>
      <w:r w:rsidRPr="00F624A9">
        <w:rPr>
          <w:sz w:val="20"/>
          <w:szCs w:val="20"/>
          <w:lang w:val="en-CA"/>
        </w:rPr>
        <w:t>Common WUS can be used for common paging such as SI change notification, direct indication, etc.</w:t>
      </w:r>
      <w:bookmarkEnd w:id="18"/>
      <w:r w:rsidRPr="00F624A9">
        <w:rPr>
          <w:sz w:val="20"/>
          <w:szCs w:val="20"/>
          <w:lang w:val="en-CA"/>
        </w:rPr>
        <w:t xml:space="preserve"> </w:t>
      </w:r>
    </w:p>
    <w:p w14:paraId="4715499B" w14:textId="73F33076" w:rsidR="00585A27" w:rsidRPr="00235EB0" w:rsidRDefault="00585A27" w:rsidP="00585A27">
      <w:pPr>
        <w:jc w:val="both"/>
        <w:rPr>
          <w:rFonts w:ascii="Arial" w:hAnsi="Arial" w:cs="Arial"/>
          <w:sz w:val="20"/>
          <w:lang w:val="en-CA"/>
        </w:rPr>
      </w:pPr>
      <w:r w:rsidRPr="00F624A9">
        <w:rPr>
          <w:rFonts w:ascii="Arial" w:hAnsi="Arial" w:cs="Arial"/>
          <w:sz w:val="20"/>
          <w:szCs w:val="20"/>
          <w:lang w:val="en-CA"/>
        </w:rPr>
        <w:lastRenderedPageBreak/>
        <w:t xml:space="preserve">In </w:t>
      </w:r>
      <w:r w:rsidRPr="00235EB0">
        <w:rPr>
          <w:rFonts w:ascii="Arial" w:hAnsi="Arial" w:cs="Arial"/>
          <w:sz w:val="20"/>
          <w:lang w:val="en-CA"/>
        </w:rPr>
        <w:t xml:space="preserve">the case </w:t>
      </w:r>
      <w:r>
        <w:rPr>
          <w:rFonts w:ascii="Arial" w:hAnsi="Arial" w:cs="Arial"/>
          <w:sz w:val="20"/>
          <w:lang w:val="en-CA"/>
        </w:rPr>
        <w:t>of a</w:t>
      </w:r>
      <w:r w:rsidRPr="00235EB0">
        <w:rPr>
          <w:rFonts w:ascii="Arial" w:hAnsi="Arial" w:cs="Arial"/>
          <w:sz w:val="20"/>
          <w:lang w:val="en-CA"/>
        </w:rPr>
        <w:t xml:space="preserve"> narrow 200 kHz NB-IoT</w:t>
      </w:r>
      <w:r w:rsidRPr="00F624A9">
        <w:rPr>
          <w:rFonts w:ascii="Arial" w:hAnsi="Arial" w:cs="Arial"/>
          <w:sz w:val="20"/>
          <w:szCs w:val="20"/>
          <w:lang w:val="en-CA"/>
        </w:rPr>
        <w:t xml:space="preserve"> </w:t>
      </w:r>
      <w:r w:rsidRPr="00235EB0">
        <w:rPr>
          <w:rFonts w:ascii="Arial" w:hAnsi="Arial" w:cs="Arial"/>
          <w:sz w:val="20"/>
          <w:lang w:val="en-CA"/>
        </w:rPr>
        <w:t>system</w:t>
      </w:r>
      <w:r>
        <w:rPr>
          <w:rFonts w:ascii="Arial" w:hAnsi="Arial" w:cs="Arial"/>
          <w:sz w:val="20"/>
          <w:lang w:val="en-CA"/>
        </w:rPr>
        <w:t>,</w:t>
      </w:r>
      <w:r w:rsidRPr="00235EB0">
        <w:rPr>
          <w:rFonts w:ascii="Arial" w:hAnsi="Arial" w:cs="Arial"/>
          <w:sz w:val="20"/>
          <w:lang w:val="en-CA"/>
        </w:rPr>
        <w:t xml:space="preserve"> </w:t>
      </w:r>
      <w:r w:rsidRPr="00F624A9">
        <w:rPr>
          <w:rFonts w:ascii="Arial" w:hAnsi="Arial" w:cs="Arial"/>
          <w:sz w:val="20"/>
          <w:szCs w:val="20"/>
          <w:lang w:val="en-CA"/>
        </w:rPr>
        <w:t xml:space="preserve">however, with </w:t>
      </w:r>
      <w:r>
        <w:rPr>
          <w:rFonts w:ascii="Arial" w:hAnsi="Arial" w:cs="Arial"/>
          <w:sz w:val="20"/>
          <w:szCs w:val="20"/>
          <w:lang w:val="en-CA"/>
        </w:rPr>
        <w:t>all DL</w:t>
      </w:r>
      <w:r w:rsidRPr="00F624A9">
        <w:rPr>
          <w:rFonts w:ascii="Arial" w:hAnsi="Arial" w:cs="Arial"/>
          <w:sz w:val="20"/>
          <w:szCs w:val="20"/>
          <w:lang w:val="en-CA"/>
        </w:rPr>
        <w:t xml:space="preserve"> transmissions </w:t>
      </w:r>
      <w:r>
        <w:rPr>
          <w:rFonts w:ascii="Arial" w:hAnsi="Arial" w:cs="Arial"/>
          <w:sz w:val="20"/>
          <w:szCs w:val="20"/>
          <w:lang w:val="en-CA"/>
        </w:rPr>
        <w:t xml:space="preserve">and some long </w:t>
      </w:r>
      <w:r w:rsidRPr="00F624A9">
        <w:rPr>
          <w:rFonts w:ascii="Arial" w:hAnsi="Arial" w:cs="Arial"/>
          <w:sz w:val="20"/>
          <w:szCs w:val="20"/>
          <w:lang w:val="en-CA"/>
        </w:rPr>
        <w:t xml:space="preserve">due to high CE, it can be </w:t>
      </w:r>
      <w:r>
        <w:rPr>
          <w:rFonts w:ascii="Arial" w:hAnsi="Arial" w:cs="Arial"/>
          <w:sz w:val="20"/>
          <w:szCs w:val="20"/>
          <w:lang w:val="en-CA"/>
        </w:rPr>
        <w:t xml:space="preserve">especially </w:t>
      </w:r>
      <w:r w:rsidRPr="00F624A9">
        <w:rPr>
          <w:rFonts w:ascii="Arial" w:hAnsi="Arial" w:cs="Arial"/>
          <w:sz w:val="20"/>
          <w:szCs w:val="20"/>
          <w:lang w:val="en-CA"/>
        </w:rPr>
        <w:t>challenging to be able to time multiplex Rel-15 WUS and Rel-16 Group-WUS to be able to</w:t>
      </w:r>
      <w:r w:rsidRPr="00235EB0">
        <w:rPr>
          <w:rFonts w:ascii="Arial" w:hAnsi="Arial" w:cs="Arial"/>
          <w:sz w:val="20"/>
          <w:lang w:val="en-CA"/>
        </w:rPr>
        <w:t xml:space="preserve"> reach all UEs within the BCCH modification period</w:t>
      </w:r>
      <w:r>
        <w:rPr>
          <w:rFonts w:ascii="Arial" w:hAnsi="Arial" w:cs="Arial"/>
          <w:sz w:val="20"/>
          <w:lang w:val="en-CA"/>
        </w:rPr>
        <w:t xml:space="preserve"> (also depending on RAN1 design)</w:t>
      </w:r>
      <w:r w:rsidRPr="00235EB0">
        <w:rPr>
          <w:rFonts w:ascii="Arial" w:hAnsi="Arial" w:cs="Arial"/>
          <w:sz w:val="20"/>
          <w:lang w:val="en-CA"/>
        </w:rPr>
        <w:t xml:space="preserve">. Therefore, it would be beneficial to have the flexibility to separately configure Rel-15 WUS and Rel-16 Group-WUS </w:t>
      </w:r>
      <w:r>
        <w:rPr>
          <w:rFonts w:ascii="Arial" w:hAnsi="Arial" w:cs="Arial"/>
          <w:sz w:val="20"/>
          <w:lang w:val="en-CA"/>
        </w:rPr>
        <w:t>on</w:t>
      </w:r>
      <w:r w:rsidRPr="00235EB0">
        <w:rPr>
          <w:rFonts w:ascii="Arial" w:hAnsi="Arial" w:cs="Arial"/>
          <w:sz w:val="20"/>
          <w:lang w:val="en-CA"/>
        </w:rPr>
        <w:t xml:space="preserve"> </w:t>
      </w:r>
      <w:r>
        <w:rPr>
          <w:rFonts w:ascii="Arial" w:hAnsi="Arial" w:cs="Arial"/>
          <w:sz w:val="20"/>
          <w:lang w:val="en-CA"/>
        </w:rPr>
        <w:t>different</w:t>
      </w:r>
      <w:r w:rsidRPr="00235EB0">
        <w:rPr>
          <w:rFonts w:ascii="Arial" w:hAnsi="Arial" w:cs="Arial"/>
          <w:sz w:val="20"/>
          <w:lang w:val="en-CA"/>
        </w:rPr>
        <w:t xml:space="preserve"> paging carriers.</w:t>
      </w:r>
      <w:r>
        <w:rPr>
          <w:rFonts w:ascii="Arial" w:hAnsi="Arial" w:cs="Arial"/>
          <w:sz w:val="20"/>
          <w:lang w:val="en-CA"/>
        </w:rPr>
        <w:t xml:space="preserve"> (For LTE-M there are 4 PRBs available in the narrowband not used for Rel-15 WUS so here the problem is not prominent). </w:t>
      </w:r>
      <w:r w:rsidRPr="00235EB0">
        <w:rPr>
          <w:rFonts w:ascii="Arial" w:hAnsi="Arial" w:cs="Arial"/>
          <w:sz w:val="20"/>
          <w:lang w:val="en-CA"/>
        </w:rPr>
        <w:t>If needed, Rel-16 Group-WUS could then be configured on some carriers/</w:t>
      </w:r>
      <w:proofErr w:type="spellStart"/>
      <w:r w:rsidRPr="00235EB0">
        <w:rPr>
          <w:rFonts w:ascii="Arial" w:hAnsi="Arial" w:cs="Arial"/>
          <w:sz w:val="20"/>
          <w:lang w:val="en-CA"/>
        </w:rPr>
        <w:t>narrowbands</w:t>
      </w:r>
      <w:proofErr w:type="spellEnd"/>
      <w:r w:rsidRPr="00235EB0">
        <w:rPr>
          <w:rFonts w:ascii="Arial" w:hAnsi="Arial" w:cs="Arial"/>
          <w:sz w:val="20"/>
          <w:lang w:val="en-CA"/>
        </w:rPr>
        <w:t xml:space="preserve"> and Rel-15 WUS on others.</w:t>
      </w:r>
      <w:r w:rsidR="00BC4A0A">
        <w:rPr>
          <w:rFonts w:ascii="Arial" w:hAnsi="Arial" w:cs="Arial"/>
          <w:sz w:val="20"/>
          <w:lang w:val="en-CA"/>
        </w:rPr>
        <w:t xml:space="preserve"> Note that this would not have a backwards compatibility issues since a UE is only either monitoring Rel-15 WUS or Rel-16 GWUS</w:t>
      </w:r>
      <w:r w:rsidR="008B5B82">
        <w:rPr>
          <w:rFonts w:ascii="Arial" w:hAnsi="Arial" w:cs="Arial"/>
          <w:sz w:val="20"/>
          <w:lang w:val="en-CA"/>
        </w:rPr>
        <w:t>.</w:t>
      </w:r>
    </w:p>
    <w:p w14:paraId="16B5A49D" w14:textId="77777777" w:rsidR="00585A27" w:rsidRPr="003A3364" w:rsidRDefault="00585A27" w:rsidP="00585A27">
      <w:pPr>
        <w:pStyle w:val="Proposal"/>
        <w:rPr>
          <w:sz w:val="20"/>
          <w:lang w:val="en-CA"/>
        </w:rPr>
      </w:pPr>
      <w:bookmarkStart w:id="19" w:name="_Toc4686263"/>
      <w:r w:rsidRPr="00235EB0">
        <w:rPr>
          <w:sz w:val="20"/>
          <w:lang w:val="en-CA"/>
        </w:rPr>
        <w:t xml:space="preserve">Rel-15 WUS and Rel-16 Group-WUS may be configured </w:t>
      </w:r>
      <w:r>
        <w:rPr>
          <w:sz w:val="20"/>
          <w:lang w:val="en-CA"/>
        </w:rPr>
        <w:t>individually</w:t>
      </w:r>
      <w:r w:rsidRPr="00235EB0">
        <w:rPr>
          <w:sz w:val="20"/>
          <w:lang w:val="en-CA"/>
        </w:rPr>
        <w:t xml:space="preserve"> for </w:t>
      </w:r>
      <w:r>
        <w:rPr>
          <w:sz w:val="20"/>
          <w:lang w:val="en-CA"/>
        </w:rPr>
        <w:t xml:space="preserve">NB-IoT </w:t>
      </w:r>
      <w:r w:rsidRPr="00235EB0">
        <w:rPr>
          <w:sz w:val="20"/>
          <w:lang w:val="en-CA"/>
        </w:rPr>
        <w:t>paging carriers.</w:t>
      </w:r>
      <w:bookmarkEnd w:id="19"/>
    </w:p>
    <w:p w14:paraId="49202DA1" w14:textId="77777777" w:rsidR="00585A27" w:rsidRPr="00585A27" w:rsidRDefault="00585A27" w:rsidP="00235EB0">
      <w:pPr>
        <w:pStyle w:val="Proposal"/>
        <w:numPr>
          <w:ilvl w:val="0"/>
          <w:numId w:val="0"/>
        </w:numPr>
        <w:rPr>
          <w:rFonts w:cs="Arial"/>
          <w:sz w:val="20"/>
          <w:lang w:val="en-CA" w:eastAsia="en-US"/>
        </w:rPr>
      </w:pPr>
    </w:p>
    <w:p w14:paraId="0721978E" w14:textId="129AAC8C" w:rsidR="00C01F33" w:rsidRPr="00CE0424" w:rsidRDefault="009D0A97" w:rsidP="00CE0424">
      <w:pPr>
        <w:pStyle w:val="Heading1"/>
      </w:pPr>
      <w:r>
        <w:t>3</w:t>
      </w:r>
      <w:r>
        <w:tab/>
      </w:r>
      <w:r w:rsidR="00C01F33" w:rsidRPr="00CE0424">
        <w:t>Conclusion</w:t>
      </w:r>
    </w:p>
    <w:p w14:paraId="2EBFD218" w14:textId="77777777" w:rsidR="008E065E" w:rsidRPr="00555FFD" w:rsidRDefault="008E065E" w:rsidP="00F53A11">
      <w:pPr>
        <w:pStyle w:val="BodyText"/>
        <w:rPr>
          <w:b/>
          <w:sz w:val="20"/>
          <w:lang w:val="en-CA"/>
        </w:rPr>
      </w:pPr>
      <w:r w:rsidRPr="00555FFD">
        <w:rPr>
          <w:sz w:val="20"/>
          <w:lang w:val="en-CA"/>
        </w:rPr>
        <w:t xml:space="preserve">In </w:t>
      </w:r>
      <w:r w:rsidR="007729A2" w:rsidRPr="00555FFD">
        <w:rPr>
          <w:sz w:val="20"/>
          <w:lang w:val="en-CA"/>
        </w:rPr>
        <w:t xml:space="preserve">the previous </w:t>
      </w:r>
      <w:r w:rsidRPr="00555FFD">
        <w:rPr>
          <w:sz w:val="20"/>
          <w:lang w:val="en-CA"/>
        </w:rPr>
        <w:t>section</w:t>
      </w:r>
      <w:r w:rsidR="007729A2" w:rsidRPr="00555FFD">
        <w:rPr>
          <w:sz w:val="20"/>
          <w:lang w:val="en-CA"/>
        </w:rPr>
        <w:t>s</w:t>
      </w:r>
      <w:r w:rsidRPr="00555FFD">
        <w:rPr>
          <w:sz w:val="20"/>
          <w:lang w:val="en-CA"/>
        </w:rPr>
        <w:t xml:space="preserve"> we made the following observations:</w:t>
      </w:r>
      <w:r w:rsidR="00C93814" w:rsidRPr="00555FFD">
        <w:rPr>
          <w:b/>
          <w:sz w:val="20"/>
          <w:lang w:val="en-CA"/>
        </w:rPr>
        <w:t xml:space="preserve"> </w:t>
      </w:r>
    </w:p>
    <w:p w14:paraId="675DBE95" w14:textId="4EC121F5" w:rsidR="009D0A97" w:rsidRPr="00F53A11" w:rsidRDefault="006F6582" w:rsidP="00F53A11">
      <w:pPr>
        <w:pStyle w:val="TableofFigures"/>
        <w:tabs>
          <w:tab w:val="right" w:leader="dot" w:pos="9629"/>
        </w:tabs>
        <w:jc w:val="both"/>
        <w:rPr>
          <w:rFonts w:asciiTheme="minorHAnsi" w:eastAsiaTheme="minorEastAsia" w:hAnsiTheme="minorHAnsi"/>
          <w:b w:val="0"/>
          <w:noProof/>
          <w:sz w:val="20"/>
          <w:szCs w:val="20"/>
          <w:lang w:eastAsia="sv-SE"/>
        </w:rPr>
      </w:pPr>
      <w:r w:rsidRPr="00F53A11">
        <w:rPr>
          <w:b w:val="0"/>
          <w:bCs/>
          <w:sz w:val="20"/>
          <w:szCs w:val="20"/>
        </w:rPr>
        <w:fldChar w:fldCharType="begin"/>
      </w:r>
      <w:r w:rsidRPr="00F53A11">
        <w:rPr>
          <w:b w:val="0"/>
          <w:bCs/>
          <w:sz w:val="20"/>
          <w:szCs w:val="20"/>
        </w:rPr>
        <w:instrText xml:space="preserve"> TOC \f O \n \h \z \t "Observation" \c </w:instrText>
      </w:r>
      <w:r w:rsidRPr="00F53A11">
        <w:rPr>
          <w:b w:val="0"/>
          <w:bCs/>
          <w:sz w:val="20"/>
          <w:szCs w:val="20"/>
        </w:rPr>
        <w:fldChar w:fldCharType="separate"/>
      </w:r>
      <w:hyperlink w:anchor="_Toc4686255" w:history="1">
        <w:r w:rsidR="009D0A97" w:rsidRPr="00F53A11">
          <w:rPr>
            <w:rStyle w:val="Hyperlink"/>
            <w:noProof/>
            <w:sz w:val="20"/>
            <w:szCs w:val="20"/>
            <w:lang w:val="en-CA"/>
          </w:rPr>
          <w:t>Observation 1</w:t>
        </w:r>
        <w:r w:rsidR="009D0A97" w:rsidRPr="00F53A11">
          <w:rPr>
            <w:rFonts w:asciiTheme="minorHAnsi" w:eastAsiaTheme="minorEastAsia" w:hAnsiTheme="minorHAnsi"/>
            <w:b w:val="0"/>
            <w:noProof/>
            <w:sz w:val="20"/>
            <w:szCs w:val="20"/>
            <w:lang w:eastAsia="sv-SE"/>
          </w:rPr>
          <w:tab/>
        </w:r>
        <w:r w:rsidR="009D0A97" w:rsidRPr="00F53A11">
          <w:rPr>
            <w:rStyle w:val="Hyperlink"/>
            <w:noProof/>
            <w:sz w:val="20"/>
            <w:szCs w:val="20"/>
            <w:lang w:val="en-CA"/>
          </w:rPr>
          <w:t>Ensuring that UEs share a WUS group with as few other UEs as possible can be achieved by a “random” uniform distribution based on UE_ID.</w:t>
        </w:r>
      </w:hyperlink>
    </w:p>
    <w:p w14:paraId="126552EB" w14:textId="6390F1FD" w:rsidR="009D0A97" w:rsidRPr="00F53A11" w:rsidRDefault="00511C47" w:rsidP="00F53A11">
      <w:pPr>
        <w:pStyle w:val="TableofFigures"/>
        <w:tabs>
          <w:tab w:val="right" w:leader="dot" w:pos="9629"/>
        </w:tabs>
        <w:jc w:val="both"/>
        <w:rPr>
          <w:rFonts w:asciiTheme="minorHAnsi" w:eastAsiaTheme="minorEastAsia" w:hAnsiTheme="minorHAnsi"/>
          <w:b w:val="0"/>
          <w:noProof/>
          <w:sz w:val="20"/>
          <w:szCs w:val="20"/>
          <w:lang w:eastAsia="sv-SE"/>
        </w:rPr>
      </w:pPr>
      <w:hyperlink w:anchor="_Toc4686256" w:history="1">
        <w:r w:rsidR="009D0A97" w:rsidRPr="00F53A11">
          <w:rPr>
            <w:rStyle w:val="Hyperlink"/>
            <w:noProof/>
            <w:sz w:val="20"/>
            <w:szCs w:val="20"/>
            <w:lang w:val="en-CA"/>
          </w:rPr>
          <w:t>Observation 2</w:t>
        </w:r>
        <w:r w:rsidR="009D0A97" w:rsidRPr="00F53A11">
          <w:rPr>
            <w:rFonts w:asciiTheme="minorHAnsi" w:eastAsiaTheme="minorEastAsia" w:hAnsiTheme="minorHAnsi"/>
            <w:b w:val="0"/>
            <w:noProof/>
            <w:sz w:val="20"/>
            <w:szCs w:val="20"/>
            <w:lang w:eastAsia="sv-SE"/>
          </w:rPr>
          <w:tab/>
        </w:r>
        <w:r w:rsidR="009D0A97" w:rsidRPr="00F53A11">
          <w:rPr>
            <w:rStyle w:val="Hyperlink"/>
            <w:noProof/>
            <w:sz w:val="20"/>
            <w:szCs w:val="20"/>
            <w:lang w:val="en-CA"/>
          </w:rPr>
          <w:t>Existing information elements such as the service type, eDRX configuration, etc. are not sufficient for the NW to derive the paging probability for a UE per PO.</w:t>
        </w:r>
      </w:hyperlink>
    </w:p>
    <w:p w14:paraId="542AAD5A" w14:textId="07A4D51E" w:rsidR="009D0A97" w:rsidRPr="00F53A11" w:rsidRDefault="00511C47" w:rsidP="00F53A11">
      <w:pPr>
        <w:pStyle w:val="TableofFigures"/>
        <w:tabs>
          <w:tab w:val="right" w:leader="dot" w:pos="9629"/>
        </w:tabs>
        <w:jc w:val="both"/>
        <w:rPr>
          <w:rFonts w:asciiTheme="minorHAnsi" w:eastAsiaTheme="minorEastAsia" w:hAnsiTheme="minorHAnsi"/>
          <w:b w:val="0"/>
          <w:noProof/>
          <w:sz w:val="20"/>
          <w:szCs w:val="20"/>
          <w:lang w:eastAsia="sv-SE"/>
        </w:rPr>
      </w:pPr>
      <w:hyperlink w:anchor="_Toc4686257" w:history="1">
        <w:r w:rsidR="009D0A97" w:rsidRPr="00F53A11">
          <w:rPr>
            <w:rStyle w:val="Hyperlink"/>
            <w:noProof/>
            <w:sz w:val="20"/>
            <w:szCs w:val="20"/>
            <w:lang w:val="en-CA"/>
          </w:rPr>
          <w:t>Observation 3</w:t>
        </w:r>
        <w:r w:rsidR="009D0A97" w:rsidRPr="00F53A11">
          <w:rPr>
            <w:rFonts w:asciiTheme="minorHAnsi" w:eastAsiaTheme="minorEastAsia" w:hAnsiTheme="minorHAnsi"/>
            <w:b w:val="0"/>
            <w:noProof/>
            <w:sz w:val="20"/>
            <w:szCs w:val="20"/>
            <w:lang w:eastAsia="sv-SE"/>
          </w:rPr>
          <w:tab/>
        </w:r>
        <w:r w:rsidR="009D0A97" w:rsidRPr="00F53A11">
          <w:rPr>
            <w:rStyle w:val="Hyperlink"/>
            <w:noProof/>
            <w:sz w:val="20"/>
            <w:szCs w:val="20"/>
            <w:lang w:val="en-CA"/>
          </w:rPr>
          <w:t>A mobile UE may increase the false paging rate not only in one cell but in the entire Tracking Area.</w:t>
        </w:r>
      </w:hyperlink>
    </w:p>
    <w:p w14:paraId="04494771" w14:textId="1B9AAE3B" w:rsidR="009D0A97" w:rsidRPr="00F53A11" w:rsidRDefault="00511C47" w:rsidP="00F53A11">
      <w:pPr>
        <w:pStyle w:val="TableofFigures"/>
        <w:tabs>
          <w:tab w:val="right" w:leader="dot" w:pos="9629"/>
        </w:tabs>
        <w:jc w:val="both"/>
        <w:rPr>
          <w:rFonts w:asciiTheme="minorHAnsi" w:eastAsiaTheme="minorEastAsia" w:hAnsiTheme="minorHAnsi"/>
          <w:b w:val="0"/>
          <w:noProof/>
          <w:sz w:val="20"/>
          <w:szCs w:val="20"/>
          <w:lang w:eastAsia="sv-SE"/>
        </w:rPr>
      </w:pPr>
      <w:hyperlink w:anchor="_Toc4686258" w:history="1">
        <w:r w:rsidR="009D0A97" w:rsidRPr="00F53A11">
          <w:rPr>
            <w:rStyle w:val="Hyperlink"/>
            <w:noProof/>
            <w:sz w:val="20"/>
            <w:szCs w:val="20"/>
            <w:lang w:val="en-CA"/>
          </w:rPr>
          <w:t>Observation 4</w:t>
        </w:r>
        <w:r w:rsidR="009D0A97" w:rsidRPr="00F53A11">
          <w:rPr>
            <w:rFonts w:asciiTheme="minorHAnsi" w:eastAsiaTheme="minorEastAsia" w:hAnsiTheme="minorHAnsi"/>
            <w:b w:val="0"/>
            <w:noProof/>
            <w:sz w:val="20"/>
            <w:szCs w:val="20"/>
            <w:lang w:eastAsia="sv-SE"/>
          </w:rPr>
          <w:tab/>
        </w:r>
        <w:r w:rsidR="009D0A97" w:rsidRPr="00F53A11">
          <w:rPr>
            <w:rStyle w:val="Hyperlink"/>
            <w:noProof/>
            <w:sz w:val="20"/>
            <w:szCs w:val="20"/>
            <w:lang w:val="en-CA"/>
          </w:rPr>
          <w:t>Common WUS can be used for common paging such as SI change notification, direct indication, etc.</w:t>
        </w:r>
      </w:hyperlink>
    </w:p>
    <w:p w14:paraId="1F8C4F2B" w14:textId="37663721" w:rsidR="006E1C82" w:rsidRPr="00555FFD" w:rsidRDefault="006F6582" w:rsidP="00F53A11">
      <w:pPr>
        <w:pStyle w:val="BodyText"/>
        <w:rPr>
          <w:b/>
          <w:bCs/>
          <w:sz w:val="20"/>
        </w:rPr>
      </w:pPr>
      <w:r w:rsidRPr="00F53A11">
        <w:rPr>
          <w:b/>
          <w:bCs/>
          <w:sz w:val="20"/>
          <w:szCs w:val="20"/>
        </w:rPr>
        <w:fldChar w:fldCharType="end"/>
      </w:r>
    </w:p>
    <w:p w14:paraId="64C5EB34" w14:textId="77777777" w:rsidR="006E1C82" w:rsidRPr="00555FFD" w:rsidRDefault="008E065E" w:rsidP="00F53A11">
      <w:pPr>
        <w:pStyle w:val="BodyText"/>
        <w:rPr>
          <w:sz w:val="20"/>
          <w:lang w:val="en-CA"/>
        </w:rPr>
      </w:pPr>
      <w:r w:rsidRPr="00555FFD">
        <w:rPr>
          <w:sz w:val="20"/>
          <w:lang w:val="en-CA"/>
        </w:rPr>
        <w:t xml:space="preserve">Based on the discussion in </w:t>
      </w:r>
      <w:r w:rsidR="007729A2" w:rsidRPr="00555FFD">
        <w:rPr>
          <w:sz w:val="20"/>
          <w:lang w:val="en-CA"/>
        </w:rPr>
        <w:t xml:space="preserve">the previous </w:t>
      </w:r>
      <w:r w:rsidRPr="00555FFD">
        <w:rPr>
          <w:sz w:val="20"/>
          <w:lang w:val="en-CA"/>
        </w:rPr>
        <w:t>section</w:t>
      </w:r>
      <w:r w:rsidR="007729A2" w:rsidRPr="00555FFD">
        <w:rPr>
          <w:sz w:val="20"/>
          <w:lang w:val="en-CA"/>
        </w:rPr>
        <w:t>s</w:t>
      </w:r>
      <w:r w:rsidRPr="00555FFD">
        <w:rPr>
          <w:sz w:val="20"/>
          <w:lang w:val="en-CA"/>
        </w:rPr>
        <w:t xml:space="preserve"> we propose the following:</w:t>
      </w:r>
    </w:p>
    <w:p w14:paraId="7D6F9D67" w14:textId="665C67DE" w:rsidR="009D0A97" w:rsidRPr="00F53A11" w:rsidRDefault="006E1C82" w:rsidP="00F53A11">
      <w:pPr>
        <w:pStyle w:val="TableofFigures"/>
        <w:tabs>
          <w:tab w:val="right" w:leader="dot" w:pos="9629"/>
        </w:tabs>
        <w:jc w:val="both"/>
        <w:rPr>
          <w:rFonts w:asciiTheme="minorHAnsi" w:eastAsiaTheme="minorEastAsia" w:hAnsiTheme="minorHAnsi"/>
          <w:b w:val="0"/>
          <w:noProof/>
          <w:sz w:val="20"/>
          <w:szCs w:val="20"/>
          <w:lang w:eastAsia="sv-SE"/>
        </w:rPr>
      </w:pPr>
      <w:r w:rsidRPr="00F53A11">
        <w:rPr>
          <w:b w:val="0"/>
          <w:sz w:val="20"/>
          <w:szCs w:val="20"/>
        </w:rPr>
        <w:fldChar w:fldCharType="begin"/>
      </w:r>
      <w:r w:rsidRPr="00F53A11">
        <w:rPr>
          <w:b w:val="0"/>
          <w:sz w:val="20"/>
          <w:szCs w:val="20"/>
        </w:rPr>
        <w:instrText xml:space="preserve"> TOC \n \h \z \t "Proposal" \c </w:instrText>
      </w:r>
      <w:r w:rsidRPr="00F53A11">
        <w:rPr>
          <w:b w:val="0"/>
          <w:sz w:val="20"/>
          <w:szCs w:val="20"/>
        </w:rPr>
        <w:fldChar w:fldCharType="separate"/>
      </w:r>
      <w:hyperlink w:anchor="_Toc4686259" w:history="1">
        <w:r w:rsidR="009D0A97" w:rsidRPr="00F53A11">
          <w:rPr>
            <w:rStyle w:val="Hyperlink"/>
            <w:noProof/>
            <w:sz w:val="20"/>
            <w:szCs w:val="20"/>
            <w:lang w:val="en-CA"/>
          </w:rPr>
          <w:t>Proposal 1</w:t>
        </w:r>
        <w:r w:rsidR="009D0A97" w:rsidRPr="00F53A11">
          <w:rPr>
            <w:rFonts w:asciiTheme="minorHAnsi" w:eastAsiaTheme="minorEastAsia" w:hAnsiTheme="minorHAnsi"/>
            <w:b w:val="0"/>
            <w:noProof/>
            <w:sz w:val="20"/>
            <w:szCs w:val="20"/>
            <w:lang w:eastAsia="sv-SE"/>
          </w:rPr>
          <w:tab/>
        </w:r>
        <w:r w:rsidR="009D0A97" w:rsidRPr="00F53A11">
          <w:rPr>
            <w:rStyle w:val="Hyperlink"/>
            <w:noProof/>
            <w:sz w:val="20"/>
            <w:szCs w:val="20"/>
            <w:lang w:val="en-CA"/>
          </w:rPr>
          <w:t>Any service-type WUS grouping solution should only be supported if practical gains are clear.</w:t>
        </w:r>
      </w:hyperlink>
    </w:p>
    <w:p w14:paraId="3DF668A9" w14:textId="46FFC323" w:rsidR="009D0A97" w:rsidRPr="00F53A11" w:rsidRDefault="00511C47" w:rsidP="00F53A11">
      <w:pPr>
        <w:pStyle w:val="TableofFigures"/>
        <w:tabs>
          <w:tab w:val="right" w:leader="dot" w:pos="9629"/>
        </w:tabs>
        <w:jc w:val="both"/>
        <w:rPr>
          <w:rFonts w:asciiTheme="minorHAnsi" w:eastAsiaTheme="minorEastAsia" w:hAnsiTheme="minorHAnsi"/>
          <w:b w:val="0"/>
          <w:noProof/>
          <w:sz w:val="20"/>
          <w:szCs w:val="20"/>
          <w:lang w:eastAsia="sv-SE"/>
        </w:rPr>
      </w:pPr>
      <w:hyperlink w:anchor="_Toc4686260" w:history="1">
        <w:r w:rsidR="009D0A97" w:rsidRPr="00F53A11">
          <w:rPr>
            <w:rStyle w:val="Hyperlink"/>
            <w:noProof/>
            <w:sz w:val="20"/>
            <w:szCs w:val="20"/>
            <w:lang w:val="en-CA"/>
          </w:rPr>
          <w:t>Proposal 2</w:t>
        </w:r>
        <w:r w:rsidR="009D0A97" w:rsidRPr="00F53A11">
          <w:rPr>
            <w:rFonts w:asciiTheme="minorHAnsi" w:eastAsiaTheme="minorEastAsia" w:hAnsiTheme="minorHAnsi"/>
            <w:b w:val="0"/>
            <w:noProof/>
            <w:sz w:val="20"/>
            <w:szCs w:val="20"/>
            <w:lang w:eastAsia="sv-SE"/>
          </w:rPr>
          <w:tab/>
        </w:r>
        <w:r w:rsidR="009D0A97" w:rsidRPr="00F53A11">
          <w:rPr>
            <w:rStyle w:val="Hyperlink"/>
            <w:noProof/>
            <w:sz w:val="20"/>
            <w:szCs w:val="20"/>
            <w:lang w:val="en-CA"/>
          </w:rPr>
          <w:t>Rel-15 ‘Subscription UE Differentiation Information’ should not be a pre-requisite for Rel-16 GWUS.</w:t>
        </w:r>
      </w:hyperlink>
    </w:p>
    <w:p w14:paraId="3119F922" w14:textId="2F0363A6" w:rsidR="009D0A97" w:rsidRPr="00F53A11" w:rsidRDefault="00511C47" w:rsidP="00F53A11">
      <w:pPr>
        <w:pStyle w:val="TableofFigures"/>
        <w:tabs>
          <w:tab w:val="right" w:leader="dot" w:pos="9629"/>
        </w:tabs>
        <w:jc w:val="both"/>
        <w:rPr>
          <w:rFonts w:asciiTheme="minorHAnsi" w:eastAsiaTheme="minorEastAsia" w:hAnsiTheme="minorHAnsi"/>
          <w:b w:val="0"/>
          <w:noProof/>
          <w:sz w:val="20"/>
          <w:szCs w:val="20"/>
          <w:lang w:eastAsia="sv-SE"/>
        </w:rPr>
      </w:pPr>
      <w:hyperlink w:anchor="_Toc4686261" w:history="1">
        <w:r w:rsidR="009D0A97" w:rsidRPr="00F53A11">
          <w:rPr>
            <w:rStyle w:val="Hyperlink"/>
            <w:noProof/>
            <w:sz w:val="20"/>
            <w:szCs w:val="20"/>
            <w:lang w:val="en-CA"/>
          </w:rPr>
          <w:t>Proposal 3</w:t>
        </w:r>
        <w:r w:rsidR="009D0A97" w:rsidRPr="00F53A11">
          <w:rPr>
            <w:rFonts w:asciiTheme="minorHAnsi" w:eastAsiaTheme="minorEastAsia" w:hAnsiTheme="minorHAnsi"/>
            <w:b w:val="0"/>
            <w:noProof/>
            <w:sz w:val="20"/>
            <w:szCs w:val="20"/>
            <w:lang w:eastAsia="sv-SE"/>
          </w:rPr>
          <w:tab/>
        </w:r>
        <w:r w:rsidR="009D0A97" w:rsidRPr="00F53A11">
          <w:rPr>
            <w:rStyle w:val="Hyperlink"/>
            <w:noProof/>
            <w:sz w:val="20"/>
            <w:szCs w:val="20"/>
            <w:lang w:val="en-CA"/>
          </w:rPr>
          <w:t>A configurable mobility WUS group is supported which can be used for paging in all other cells than the last-known cell (i.e. the last cell the UE were in RRC_CONNECTED).</w:t>
        </w:r>
      </w:hyperlink>
    </w:p>
    <w:p w14:paraId="4C7749BE" w14:textId="588FE533" w:rsidR="009D0A97" w:rsidRPr="00F53A11" w:rsidRDefault="00511C47" w:rsidP="00F53A11">
      <w:pPr>
        <w:pStyle w:val="TableofFigures"/>
        <w:tabs>
          <w:tab w:val="right" w:leader="dot" w:pos="9629"/>
        </w:tabs>
        <w:jc w:val="both"/>
        <w:rPr>
          <w:rFonts w:asciiTheme="minorHAnsi" w:eastAsiaTheme="minorEastAsia" w:hAnsiTheme="minorHAnsi"/>
          <w:b w:val="0"/>
          <w:noProof/>
          <w:sz w:val="20"/>
          <w:szCs w:val="20"/>
          <w:lang w:eastAsia="sv-SE"/>
        </w:rPr>
      </w:pPr>
      <w:hyperlink w:anchor="_Toc4686262" w:history="1">
        <w:r w:rsidR="009D0A97" w:rsidRPr="00F53A11">
          <w:rPr>
            <w:rStyle w:val="Hyperlink"/>
            <w:rFonts w:cs="Arial"/>
            <w:noProof/>
            <w:sz w:val="20"/>
            <w:szCs w:val="20"/>
            <w:lang w:val="en-CA" w:eastAsia="en-US"/>
          </w:rPr>
          <w:t>Proposal 4</w:t>
        </w:r>
        <w:r w:rsidR="009D0A97" w:rsidRPr="00F53A11">
          <w:rPr>
            <w:rFonts w:asciiTheme="minorHAnsi" w:eastAsiaTheme="minorEastAsia" w:hAnsiTheme="minorHAnsi"/>
            <w:b w:val="0"/>
            <w:noProof/>
            <w:sz w:val="20"/>
            <w:szCs w:val="20"/>
            <w:lang w:eastAsia="sv-SE"/>
          </w:rPr>
          <w:tab/>
        </w:r>
        <w:r w:rsidR="009D0A97" w:rsidRPr="00F53A11">
          <w:rPr>
            <w:rStyle w:val="Hyperlink"/>
            <w:rFonts w:cs="Arial"/>
            <w:noProof/>
            <w:sz w:val="20"/>
            <w:szCs w:val="20"/>
            <w:lang w:val="en-CA" w:eastAsia="en-US"/>
          </w:rPr>
          <w:t>Paging Rel-15 WUS UEs should not cause Rel-16 Group-WUS UEs to wake up to monitor paging.</w:t>
        </w:r>
      </w:hyperlink>
    </w:p>
    <w:p w14:paraId="1754E74D" w14:textId="1BC28108" w:rsidR="009D0A97" w:rsidRPr="00F53A11" w:rsidRDefault="00511C47" w:rsidP="00F53A11">
      <w:pPr>
        <w:pStyle w:val="TableofFigures"/>
        <w:tabs>
          <w:tab w:val="right" w:leader="dot" w:pos="9629"/>
        </w:tabs>
        <w:jc w:val="both"/>
        <w:rPr>
          <w:rFonts w:asciiTheme="minorHAnsi" w:eastAsiaTheme="minorEastAsia" w:hAnsiTheme="minorHAnsi"/>
          <w:b w:val="0"/>
          <w:noProof/>
          <w:sz w:val="20"/>
          <w:szCs w:val="20"/>
          <w:lang w:eastAsia="sv-SE"/>
        </w:rPr>
      </w:pPr>
      <w:hyperlink w:anchor="_Toc4686263" w:history="1">
        <w:r w:rsidR="009D0A97" w:rsidRPr="00F53A11">
          <w:rPr>
            <w:rStyle w:val="Hyperlink"/>
            <w:noProof/>
            <w:sz w:val="20"/>
            <w:szCs w:val="20"/>
            <w:lang w:val="en-CA"/>
          </w:rPr>
          <w:t>Proposal 5</w:t>
        </w:r>
        <w:r w:rsidR="009D0A97" w:rsidRPr="00F53A11">
          <w:rPr>
            <w:rFonts w:asciiTheme="minorHAnsi" w:eastAsiaTheme="minorEastAsia" w:hAnsiTheme="minorHAnsi"/>
            <w:b w:val="0"/>
            <w:noProof/>
            <w:sz w:val="20"/>
            <w:szCs w:val="20"/>
            <w:lang w:eastAsia="sv-SE"/>
          </w:rPr>
          <w:tab/>
        </w:r>
        <w:r w:rsidR="009D0A97" w:rsidRPr="00F53A11">
          <w:rPr>
            <w:rStyle w:val="Hyperlink"/>
            <w:noProof/>
            <w:sz w:val="20"/>
            <w:szCs w:val="20"/>
            <w:lang w:val="en-CA"/>
          </w:rPr>
          <w:t>Rel-15 WUS and Rel-16 Group-WUS may be configured individually for NB-IoT paging carriers.</w:t>
        </w:r>
      </w:hyperlink>
    </w:p>
    <w:p w14:paraId="5A84BD18" w14:textId="07C075B0" w:rsidR="00C01F33" w:rsidRPr="00CE0424" w:rsidRDefault="006E1C82" w:rsidP="00F53A11">
      <w:pPr>
        <w:pStyle w:val="BodyText"/>
      </w:pPr>
      <w:r w:rsidRPr="00F53A11">
        <w:rPr>
          <w:b/>
          <w:sz w:val="20"/>
          <w:szCs w:val="20"/>
        </w:rPr>
        <w:fldChar w:fldCharType="end"/>
      </w:r>
      <w:r w:rsidRPr="00CE0424">
        <w:rPr>
          <w:b/>
          <w:bCs/>
        </w:rPr>
        <w:t xml:space="preserve"> </w:t>
      </w:r>
    </w:p>
    <w:p w14:paraId="31571737" w14:textId="77777777" w:rsidR="00F507D1" w:rsidRPr="00CE0424" w:rsidRDefault="00F507D1" w:rsidP="00CE0424">
      <w:pPr>
        <w:pStyle w:val="Heading1"/>
      </w:pPr>
      <w:bookmarkStart w:id="20" w:name="_In-sequence_SDU_delivery"/>
      <w:bookmarkEnd w:id="20"/>
      <w:r w:rsidRPr="00CE0424">
        <w:t>References</w:t>
      </w:r>
    </w:p>
    <w:bookmarkStart w:id="21" w:name="_Ref1079762"/>
    <w:bookmarkStart w:id="22" w:name="_Ref1079735"/>
    <w:bookmarkStart w:id="23" w:name="_Ref517702140"/>
    <w:bookmarkStart w:id="24" w:name="_Ref528600737"/>
    <w:bookmarkStart w:id="25" w:name="_Ref1080767"/>
    <w:bookmarkStart w:id="26" w:name="_Ref524424563"/>
    <w:bookmarkStart w:id="27" w:name="_Ref528566706"/>
    <w:p w14:paraId="0C0392B5" w14:textId="52DA2AEF" w:rsidR="0095064E" w:rsidRPr="00831303" w:rsidRDefault="0095064E" w:rsidP="0095064E">
      <w:pPr>
        <w:pStyle w:val="Reference"/>
        <w:rPr>
          <w:sz w:val="20"/>
          <w:lang w:val="en-CA"/>
        </w:rPr>
      </w:pPr>
      <w:r w:rsidRPr="00831303">
        <w:rPr>
          <w:rFonts w:eastAsia="Times New Roman"/>
          <w:color w:val="0000FF"/>
          <w:sz w:val="20"/>
          <w:u w:val="single"/>
        </w:rPr>
        <w:fldChar w:fldCharType="begin"/>
      </w:r>
      <w:r w:rsidRPr="0044765B">
        <w:rPr>
          <w:rFonts w:eastAsia="Times New Roman"/>
          <w:color w:val="0000FF"/>
          <w:sz w:val="20"/>
          <w:u w:val="single"/>
          <w:lang w:val="en-CA"/>
        </w:rPr>
        <w:instrText xml:space="preserve"> HYPERLINK "http://www.3gpp.org/ftp/TSG_RAN/TSG_RAN/TSGR_83/Docs/RP-190532.zip" </w:instrText>
      </w:r>
      <w:r w:rsidRPr="00831303">
        <w:rPr>
          <w:rFonts w:eastAsia="Times New Roman"/>
          <w:color w:val="0000FF"/>
          <w:sz w:val="20"/>
          <w:u w:val="single"/>
        </w:rPr>
        <w:fldChar w:fldCharType="separate"/>
      </w:r>
      <w:r w:rsidRPr="0044765B">
        <w:rPr>
          <w:rStyle w:val="Hyperlink"/>
          <w:rFonts w:eastAsia="Times New Roman"/>
          <w:sz w:val="20"/>
          <w:lang w:val="en-CA"/>
        </w:rPr>
        <w:t>RP-190532</w:t>
      </w:r>
      <w:r w:rsidRPr="00831303">
        <w:rPr>
          <w:rFonts w:eastAsia="Times New Roman"/>
          <w:color w:val="0000FF"/>
          <w:sz w:val="20"/>
          <w:u w:val="single"/>
        </w:rPr>
        <w:fldChar w:fldCharType="end"/>
      </w:r>
      <w:r w:rsidRPr="00831303">
        <w:rPr>
          <w:sz w:val="20"/>
          <w:lang w:val="en-CA"/>
        </w:rPr>
        <w:t>, “Revised WID for Additional MTC enhancements for LTE”, Ericsson, RAN#83, Shenzhen, China, March 2019.</w:t>
      </w:r>
      <w:bookmarkEnd w:id="21"/>
    </w:p>
    <w:bookmarkStart w:id="28" w:name="_Hlk4353930"/>
    <w:bookmarkEnd w:id="22"/>
    <w:bookmarkEnd w:id="23"/>
    <w:bookmarkEnd w:id="24"/>
    <w:bookmarkEnd w:id="25"/>
    <w:p w14:paraId="6D620799" w14:textId="0FDCC8EE" w:rsidR="00831303" w:rsidRPr="00831303" w:rsidRDefault="00831303" w:rsidP="00831303">
      <w:pPr>
        <w:pStyle w:val="Reference"/>
        <w:rPr>
          <w:sz w:val="20"/>
          <w:lang w:val="en-CA"/>
        </w:rPr>
      </w:pPr>
      <w:r w:rsidRPr="00831303">
        <w:rPr>
          <w:rFonts w:eastAsia="Times New Roman"/>
          <w:color w:val="0000FF"/>
          <w:sz w:val="20"/>
          <w:u w:val="single"/>
        </w:rPr>
        <w:fldChar w:fldCharType="begin"/>
      </w:r>
      <w:r w:rsidRPr="0044765B">
        <w:rPr>
          <w:rFonts w:eastAsia="Times New Roman"/>
          <w:color w:val="0000FF"/>
          <w:sz w:val="20"/>
          <w:u w:val="single"/>
          <w:lang w:val="en-CA"/>
        </w:rPr>
        <w:instrText xml:space="preserve"> HYPERLINK "http://www.3gpp.org/ftp/TSG_RAN/TSG_RAN/TSGR_83/Docs/RP-190337.zip" </w:instrText>
      </w:r>
      <w:r w:rsidRPr="00831303">
        <w:rPr>
          <w:rFonts w:eastAsia="Times New Roman"/>
          <w:color w:val="0000FF"/>
          <w:sz w:val="20"/>
          <w:u w:val="single"/>
        </w:rPr>
        <w:fldChar w:fldCharType="separate"/>
      </w:r>
      <w:r w:rsidRPr="0044765B">
        <w:rPr>
          <w:rStyle w:val="Hyperlink"/>
          <w:rFonts w:eastAsia="Times New Roman"/>
          <w:sz w:val="20"/>
          <w:lang w:val="en-CA"/>
        </w:rPr>
        <w:t>RP-190337</w:t>
      </w:r>
      <w:r w:rsidRPr="00831303">
        <w:rPr>
          <w:rFonts w:eastAsia="Times New Roman"/>
          <w:color w:val="0000FF"/>
          <w:sz w:val="20"/>
          <w:u w:val="single"/>
        </w:rPr>
        <w:fldChar w:fldCharType="end"/>
      </w:r>
      <w:r w:rsidRPr="00831303">
        <w:rPr>
          <w:sz w:val="20"/>
          <w:lang w:val="en-CA"/>
        </w:rPr>
        <w:t>, “WID revision: Additional enhancements for NB-IoT”, Huawei, RAN#83, Shenzhen, China, March 2019.</w:t>
      </w:r>
    </w:p>
    <w:bookmarkEnd w:id="28"/>
    <w:p w14:paraId="05FB51B6" w14:textId="0FCA201A" w:rsidR="003A7EF3" w:rsidRPr="00555FFD" w:rsidRDefault="00053948" w:rsidP="00053948">
      <w:pPr>
        <w:pStyle w:val="Reference"/>
        <w:rPr>
          <w:sz w:val="20"/>
          <w:lang w:val="en-CA"/>
        </w:rPr>
      </w:pPr>
      <w:r w:rsidRPr="00555FFD">
        <w:rPr>
          <w:sz w:val="20"/>
          <w:lang w:val="en-CA"/>
        </w:rPr>
        <w:t>RAN1 Chairman’s Notes, RAN1#94, Gothenburg, Sweden, August 20th – 24th, 2018.</w:t>
      </w:r>
      <w:bookmarkEnd w:id="26"/>
      <w:bookmarkEnd w:id="27"/>
    </w:p>
    <w:p w14:paraId="65CFCAC4" w14:textId="3725CADA" w:rsidR="00A24D61" w:rsidRPr="00555FFD" w:rsidRDefault="00A24D61" w:rsidP="00A24D61">
      <w:pPr>
        <w:pStyle w:val="Reference"/>
        <w:rPr>
          <w:sz w:val="20"/>
          <w:lang w:val="en-CA"/>
        </w:rPr>
      </w:pPr>
      <w:bookmarkStart w:id="29" w:name="_Ref527969212"/>
      <w:r w:rsidRPr="00555FFD">
        <w:rPr>
          <w:sz w:val="20"/>
          <w:lang w:val="en-CA"/>
        </w:rPr>
        <w:t>RAN1 Chairman’s Notes, RAN1#94bis, Chengdu, China, October 8th – 12</w:t>
      </w:r>
      <w:r w:rsidRPr="00555FFD">
        <w:rPr>
          <w:sz w:val="20"/>
          <w:vertAlign w:val="superscript"/>
          <w:lang w:val="en-CA"/>
        </w:rPr>
        <w:t>th</w:t>
      </w:r>
      <w:r w:rsidRPr="00555FFD">
        <w:rPr>
          <w:sz w:val="20"/>
          <w:lang w:val="en-CA"/>
        </w:rPr>
        <w:t>, 2018.</w:t>
      </w:r>
      <w:bookmarkEnd w:id="29"/>
    </w:p>
    <w:p w14:paraId="3FE3D61A" w14:textId="04B65779" w:rsidR="009E4250" w:rsidRPr="00555FFD" w:rsidRDefault="009E4250" w:rsidP="00A24D61">
      <w:pPr>
        <w:pStyle w:val="Reference"/>
        <w:rPr>
          <w:sz w:val="20"/>
          <w:lang w:val="en-CA"/>
        </w:rPr>
      </w:pPr>
      <w:bookmarkStart w:id="30" w:name="_Ref528511896"/>
      <w:r w:rsidRPr="00555FFD">
        <w:rPr>
          <w:sz w:val="20"/>
          <w:lang w:val="en-CA"/>
        </w:rPr>
        <w:lastRenderedPageBreak/>
        <w:t xml:space="preserve">3GPP TS 36.304, </w:t>
      </w:r>
      <w:r w:rsidR="006165D1" w:rsidRPr="00555FFD">
        <w:rPr>
          <w:sz w:val="20"/>
          <w:lang w:val="en-CA"/>
        </w:rPr>
        <w:t>“</w:t>
      </w:r>
      <w:r w:rsidR="00913CF6" w:rsidRPr="00555FFD">
        <w:rPr>
          <w:sz w:val="20"/>
          <w:lang w:val="en-CA"/>
        </w:rPr>
        <w:t xml:space="preserve">User Equipment (UE) procedures in idle mode”, </w:t>
      </w:r>
      <w:r w:rsidR="00227DD0" w:rsidRPr="00555FFD">
        <w:rPr>
          <w:sz w:val="20"/>
          <w:lang w:val="en-CA"/>
        </w:rPr>
        <w:t>V15.1.0, 2018-09.</w:t>
      </w:r>
      <w:bookmarkEnd w:id="30"/>
    </w:p>
    <w:p w14:paraId="6246705B" w14:textId="37A9BC42" w:rsidR="007136CF" w:rsidRPr="00555FFD" w:rsidRDefault="007136CF" w:rsidP="00A24D61">
      <w:pPr>
        <w:pStyle w:val="Reference"/>
        <w:rPr>
          <w:sz w:val="20"/>
          <w:lang w:val="en-CA"/>
        </w:rPr>
      </w:pPr>
      <w:bookmarkStart w:id="31" w:name="_Ref528525918"/>
      <w:r w:rsidRPr="00555FFD">
        <w:rPr>
          <w:sz w:val="20"/>
          <w:lang w:val="en-CA"/>
        </w:rPr>
        <w:t>R2-1815084, “</w:t>
      </w:r>
      <w:r w:rsidR="009A189E" w:rsidRPr="00555FFD">
        <w:rPr>
          <w:sz w:val="20"/>
          <w:lang w:val="en-CA"/>
        </w:rPr>
        <w:t xml:space="preserve">Paging with fractional </w:t>
      </w:r>
      <w:proofErr w:type="spellStart"/>
      <w:r w:rsidR="009A189E" w:rsidRPr="00555FFD">
        <w:rPr>
          <w:sz w:val="20"/>
          <w:lang w:val="en-CA"/>
        </w:rPr>
        <w:t>nB</w:t>
      </w:r>
      <w:proofErr w:type="spellEnd"/>
      <w:r w:rsidR="009A189E" w:rsidRPr="00555FFD">
        <w:rPr>
          <w:sz w:val="20"/>
          <w:lang w:val="en-CA"/>
        </w:rPr>
        <w:t xml:space="preserve"> value”, </w:t>
      </w:r>
      <w:r w:rsidR="00F62C8B" w:rsidRPr="00555FFD">
        <w:rPr>
          <w:sz w:val="20"/>
          <w:lang w:val="en-CA"/>
        </w:rPr>
        <w:t xml:space="preserve">Sequans Communications, </w:t>
      </w:r>
      <w:r w:rsidR="00D332CF" w:rsidRPr="00555FFD">
        <w:rPr>
          <w:sz w:val="20"/>
          <w:lang w:val="en-CA"/>
        </w:rPr>
        <w:t xml:space="preserve">RAN2#103bis, </w:t>
      </w:r>
      <w:r w:rsidR="00D864E1" w:rsidRPr="00555FFD">
        <w:rPr>
          <w:sz w:val="20"/>
          <w:lang w:val="en-CA"/>
        </w:rPr>
        <w:t>Chengdu, China, October 2018.</w:t>
      </w:r>
      <w:bookmarkEnd w:id="31"/>
    </w:p>
    <w:p w14:paraId="583E36F9" w14:textId="77777777" w:rsidR="00A24D61" w:rsidRPr="00555FFD" w:rsidRDefault="00A24D61" w:rsidP="00A24D61">
      <w:pPr>
        <w:pStyle w:val="Reference"/>
        <w:numPr>
          <w:ilvl w:val="0"/>
          <w:numId w:val="0"/>
        </w:numPr>
        <w:rPr>
          <w:sz w:val="20"/>
          <w:lang w:val="en-CA"/>
        </w:rPr>
      </w:pPr>
    </w:p>
    <w:sectPr w:rsidR="00A24D61" w:rsidRPr="00555FF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05E8B" w14:textId="77777777" w:rsidR="00511C47" w:rsidRDefault="00511C47">
      <w:r>
        <w:separator/>
      </w:r>
    </w:p>
  </w:endnote>
  <w:endnote w:type="continuationSeparator" w:id="0">
    <w:p w14:paraId="4D125273" w14:textId="77777777" w:rsidR="00511C47" w:rsidRDefault="00511C47">
      <w:r>
        <w:continuationSeparator/>
      </w:r>
    </w:p>
  </w:endnote>
  <w:endnote w:type="continuationNotice" w:id="1">
    <w:p w14:paraId="25055799" w14:textId="77777777" w:rsidR="00511C47" w:rsidRDefault="00511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5D778" w14:textId="77777777" w:rsidR="00511C47" w:rsidRDefault="00511C47">
      <w:r>
        <w:separator/>
      </w:r>
    </w:p>
  </w:footnote>
  <w:footnote w:type="continuationSeparator" w:id="0">
    <w:p w14:paraId="1507E684" w14:textId="77777777" w:rsidR="00511C47" w:rsidRDefault="00511C47">
      <w:r>
        <w:continuationSeparator/>
      </w:r>
    </w:p>
  </w:footnote>
  <w:footnote w:type="continuationNotice" w:id="1">
    <w:p w14:paraId="3A67100C" w14:textId="77777777" w:rsidR="00511C47" w:rsidRDefault="00511C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3FF64A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023EB"/>
    <w:multiLevelType w:val="hybridMultilevel"/>
    <w:tmpl w:val="6222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7AD"/>
    <w:multiLevelType w:val="hybridMultilevel"/>
    <w:tmpl w:val="F67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70126B"/>
    <w:multiLevelType w:val="hybridMultilevel"/>
    <w:tmpl w:val="A4E6B03E"/>
    <w:lvl w:ilvl="0" w:tplc="5BCAD274">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06231"/>
    <w:multiLevelType w:val="hybridMultilevel"/>
    <w:tmpl w:val="77C41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0C4764"/>
    <w:multiLevelType w:val="hybridMultilevel"/>
    <w:tmpl w:val="F79CD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1"/>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7"/>
  </w:num>
  <w:num w:numId="14">
    <w:abstractNumId w:val="29"/>
  </w:num>
  <w:num w:numId="15">
    <w:abstractNumId w:val="19"/>
  </w:num>
  <w:num w:numId="16">
    <w:abstractNumId w:val="33"/>
  </w:num>
  <w:num w:numId="17">
    <w:abstractNumId w:val="9"/>
  </w:num>
  <w:num w:numId="18">
    <w:abstractNumId w:val="10"/>
  </w:num>
  <w:num w:numId="19">
    <w:abstractNumId w:val="5"/>
  </w:num>
  <w:num w:numId="20">
    <w:abstractNumId w:val="41"/>
  </w:num>
  <w:num w:numId="21">
    <w:abstractNumId w:val="16"/>
  </w:num>
  <w:num w:numId="22">
    <w:abstractNumId w:val="38"/>
  </w:num>
  <w:num w:numId="23">
    <w:abstractNumId w:val="28"/>
  </w:num>
  <w:num w:numId="24">
    <w:abstractNumId w:val="20"/>
  </w:num>
  <w:num w:numId="25">
    <w:abstractNumId w:val="40"/>
  </w:num>
  <w:num w:numId="26">
    <w:abstractNumId w:val="8"/>
  </w:num>
  <w:num w:numId="27">
    <w:abstractNumId w:val="37"/>
  </w:num>
  <w:num w:numId="28">
    <w:abstractNumId w:val="39"/>
  </w:num>
  <w:num w:numId="29">
    <w:abstractNumId w:val="34"/>
  </w:num>
  <w:num w:numId="30">
    <w:abstractNumId w:val="30"/>
  </w:num>
  <w:num w:numId="31">
    <w:abstractNumId w:val="15"/>
  </w:num>
  <w:num w:numId="32">
    <w:abstractNumId w:val="22"/>
  </w:num>
  <w:num w:numId="33">
    <w:abstractNumId w:val="4"/>
  </w:num>
  <w:num w:numId="34">
    <w:abstractNumId w:val="36"/>
  </w:num>
  <w:num w:numId="35">
    <w:abstractNumId w:val="26"/>
  </w:num>
  <w:num w:numId="36">
    <w:abstractNumId w:val="25"/>
  </w:num>
  <w:num w:numId="37">
    <w:abstractNumId w:val="6"/>
  </w:num>
  <w:num w:numId="38">
    <w:abstractNumId w:val="7"/>
  </w:num>
  <w:num w:numId="39">
    <w:abstractNumId w:val="32"/>
  </w:num>
  <w:num w:numId="40">
    <w:abstractNumId w:val="24"/>
  </w:num>
  <w:num w:numId="41">
    <w:abstractNumId w:val="35"/>
  </w:num>
  <w:num w:numId="42">
    <w:abstractNumId w:val="42"/>
  </w:num>
  <w:num w:numId="43">
    <w:abstractNumId w:val="24"/>
  </w:num>
  <w:num w:numId="44">
    <w:abstractNumId w:val="42"/>
  </w:num>
  <w:num w:numId="45">
    <w:abstractNumId w:val="36"/>
  </w:num>
  <w:num w:numId="46">
    <w:abstractNumId w:val="26"/>
  </w:num>
  <w:num w:numId="47">
    <w:abstractNumId w:val="22"/>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8F8"/>
    <w:rsid w:val="00002A37"/>
    <w:rsid w:val="00004090"/>
    <w:rsid w:val="0000564C"/>
    <w:rsid w:val="00006446"/>
    <w:rsid w:val="0000668B"/>
    <w:rsid w:val="00006896"/>
    <w:rsid w:val="00007CDC"/>
    <w:rsid w:val="00011B28"/>
    <w:rsid w:val="00014B95"/>
    <w:rsid w:val="00015D15"/>
    <w:rsid w:val="0002564D"/>
    <w:rsid w:val="00025ECA"/>
    <w:rsid w:val="0003172B"/>
    <w:rsid w:val="000325B8"/>
    <w:rsid w:val="00034C15"/>
    <w:rsid w:val="00036BA1"/>
    <w:rsid w:val="00037157"/>
    <w:rsid w:val="00041CAA"/>
    <w:rsid w:val="000422E2"/>
    <w:rsid w:val="00042F22"/>
    <w:rsid w:val="000444EF"/>
    <w:rsid w:val="00047729"/>
    <w:rsid w:val="00052A07"/>
    <w:rsid w:val="00052D31"/>
    <w:rsid w:val="000534E3"/>
    <w:rsid w:val="00053948"/>
    <w:rsid w:val="00055EAF"/>
    <w:rsid w:val="0005606A"/>
    <w:rsid w:val="00057117"/>
    <w:rsid w:val="000616E7"/>
    <w:rsid w:val="0006487E"/>
    <w:rsid w:val="00065E1A"/>
    <w:rsid w:val="00066C3A"/>
    <w:rsid w:val="00070BFB"/>
    <w:rsid w:val="00070FDE"/>
    <w:rsid w:val="000752CA"/>
    <w:rsid w:val="00075360"/>
    <w:rsid w:val="00077E5F"/>
    <w:rsid w:val="000800D7"/>
    <w:rsid w:val="0008036A"/>
    <w:rsid w:val="00081AE6"/>
    <w:rsid w:val="000855EB"/>
    <w:rsid w:val="00085B52"/>
    <w:rsid w:val="000866F2"/>
    <w:rsid w:val="0009009F"/>
    <w:rsid w:val="00091557"/>
    <w:rsid w:val="000924C1"/>
    <w:rsid w:val="000924F0"/>
    <w:rsid w:val="00092EDF"/>
    <w:rsid w:val="00093474"/>
    <w:rsid w:val="0009510F"/>
    <w:rsid w:val="00097EE6"/>
    <w:rsid w:val="000A1B7B"/>
    <w:rsid w:val="000A4009"/>
    <w:rsid w:val="000A56F2"/>
    <w:rsid w:val="000A6375"/>
    <w:rsid w:val="000A7647"/>
    <w:rsid w:val="000B0CEC"/>
    <w:rsid w:val="000B13C0"/>
    <w:rsid w:val="000B2719"/>
    <w:rsid w:val="000B2C2F"/>
    <w:rsid w:val="000B3A8F"/>
    <w:rsid w:val="000B4AB9"/>
    <w:rsid w:val="000B4B4E"/>
    <w:rsid w:val="000B4BEF"/>
    <w:rsid w:val="000B54CA"/>
    <w:rsid w:val="000B58C3"/>
    <w:rsid w:val="000B61E9"/>
    <w:rsid w:val="000C145F"/>
    <w:rsid w:val="000C165A"/>
    <w:rsid w:val="000C2E19"/>
    <w:rsid w:val="000C3D3A"/>
    <w:rsid w:val="000C5F8E"/>
    <w:rsid w:val="000C73BE"/>
    <w:rsid w:val="000D0D07"/>
    <w:rsid w:val="000D2C38"/>
    <w:rsid w:val="000D38CD"/>
    <w:rsid w:val="000D3F98"/>
    <w:rsid w:val="000D4797"/>
    <w:rsid w:val="000E02DD"/>
    <w:rsid w:val="000E0527"/>
    <w:rsid w:val="000E1191"/>
    <w:rsid w:val="000E1E92"/>
    <w:rsid w:val="000E3A76"/>
    <w:rsid w:val="000E71B6"/>
    <w:rsid w:val="000E74C5"/>
    <w:rsid w:val="000F001F"/>
    <w:rsid w:val="000F0333"/>
    <w:rsid w:val="000F06D6"/>
    <w:rsid w:val="000F0EB1"/>
    <w:rsid w:val="000F1106"/>
    <w:rsid w:val="000F3BE9"/>
    <w:rsid w:val="000F3F6C"/>
    <w:rsid w:val="000F562C"/>
    <w:rsid w:val="000F5ADD"/>
    <w:rsid w:val="000F6DF3"/>
    <w:rsid w:val="001005FF"/>
    <w:rsid w:val="00102469"/>
    <w:rsid w:val="001062FB"/>
    <w:rsid w:val="001063E6"/>
    <w:rsid w:val="00112DB2"/>
    <w:rsid w:val="00113CF4"/>
    <w:rsid w:val="001153EA"/>
    <w:rsid w:val="00115643"/>
    <w:rsid w:val="001161F2"/>
    <w:rsid w:val="00116765"/>
    <w:rsid w:val="00117177"/>
    <w:rsid w:val="001219F5"/>
    <w:rsid w:val="00121A20"/>
    <w:rsid w:val="001231B0"/>
    <w:rsid w:val="0012377F"/>
    <w:rsid w:val="00124314"/>
    <w:rsid w:val="001251EA"/>
    <w:rsid w:val="00126B4A"/>
    <w:rsid w:val="00126BB7"/>
    <w:rsid w:val="00130AE4"/>
    <w:rsid w:val="00132FD0"/>
    <w:rsid w:val="00133D1C"/>
    <w:rsid w:val="001344C0"/>
    <w:rsid w:val="001346FA"/>
    <w:rsid w:val="00135252"/>
    <w:rsid w:val="00136182"/>
    <w:rsid w:val="00137759"/>
    <w:rsid w:val="00137AB5"/>
    <w:rsid w:val="00137F0B"/>
    <w:rsid w:val="00141CDA"/>
    <w:rsid w:val="00147BD7"/>
    <w:rsid w:val="001502DA"/>
    <w:rsid w:val="00150CEE"/>
    <w:rsid w:val="001513D2"/>
    <w:rsid w:val="00151E23"/>
    <w:rsid w:val="001526E0"/>
    <w:rsid w:val="00152D6D"/>
    <w:rsid w:val="00153B5D"/>
    <w:rsid w:val="00154969"/>
    <w:rsid w:val="001551B5"/>
    <w:rsid w:val="0015524C"/>
    <w:rsid w:val="00156ACA"/>
    <w:rsid w:val="00157526"/>
    <w:rsid w:val="00161AE5"/>
    <w:rsid w:val="0016294F"/>
    <w:rsid w:val="001659C1"/>
    <w:rsid w:val="00166642"/>
    <w:rsid w:val="00170571"/>
    <w:rsid w:val="00173A8E"/>
    <w:rsid w:val="0017502C"/>
    <w:rsid w:val="00177C7D"/>
    <w:rsid w:val="0018143F"/>
    <w:rsid w:val="00181FF8"/>
    <w:rsid w:val="00184B9A"/>
    <w:rsid w:val="0018537E"/>
    <w:rsid w:val="00190AC1"/>
    <w:rsid w:val="00190F98"/>
    <w:rsid w:val="00191402"/>
    <w:rsid w:val="00191F4D"/>
    <w:rsid w:val="0019341A"/>
    <w:rsid w:val="0019435D"/>
    <w:rsid w:val="001956A2"/>
    <w:rsid w:val="00197AA8"/>
    <w:rsid w:val="00197DF9"/>
    <w:rsid w:val="001A1987"/>
    <w:rsid w:val="001A2564"/>
    <w:rsid w:val="001A4A1E"/>
    <w:rsid w:val="001A6173"/>
    <w:rsid w:val="001A6CBA"/>
    <w:rsid w:val="001B00FE"/>
    <w:rsid w:val="001B0D97"/>
    <w:rsid w:val="001B3B65"/>
    <w:rsid w:val="001B49DC"/>
    <w:rsid w:val="001B5A5D"/>
    <w:rsid w:val="001C0832"/>
    <w:rsid w:val="001C1CE5"/>
    <w:rsid w:val="001C3D2A"/>
    <w:rsid w:val="001C544C"/>
    <w:rsid w:val="001C5A06"/>
    <w:rsid w:val="001D3480"/>
    <w:rsid w:val="001D399D"/>
    <w:rsid w:val="001D51BA"/>
    <w:rsid w:val="001D53E7"/>
    <w:rsid w:val="001D6342"/>
    <w:rsid w:val="001D6D53"/>
    <w:rsid w:val="001E30D5"/>
    <w:rsid w:val="001E45CD"/>
    <w:rsid w:val="001E4F90"/>
    <w:rsid w:val="001E5117"/>
    <w:rsid w:val="001E58E2"/>
    <w:rsid w:val="001E611C"/>
    <w:rsid w:val="001E707F"/>
    <w:rsid w:val="001E7958"/>
    <w:rsid w:val="001E7AED"/>
    <w:rsid w:val="001F1556"/>
    <w:rsid w:val="001F15BD"/>
    <w:rsid w:val="001F20FF"/>
    <w:rsid w:val="001F3916"/>
    <w:rsid w:val="001F54C5"/>
    <w:rsid w:val="001F5691"/>
    <w:rsid w:val="001F6498"/>
    <w:rsid w:val="001F662C"/>
    <w:rsid w:val="001F7074"/>
    <w:rsid w:val="00200490"/>
    <w:rsid w:val="0020195D"/>
    <w:rsid w:val="00201F3A"/>
    <w:rsid w:val="00203511"/>
    <w:rsid w:val="00203F96"/>
    <w:rsid w:val="0020419E"/>
    <w:rsid w:val="0020448C"/>
    <w:rsid w:val="00204C6C"/>
    <w:rsid w:val="002069B2"/>
    <w:rsid w:val="002069E4"/>
    <w:rsid w:val="00207165"/>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06D"/>
    <w:rsid w:val="002319E4"/>
    <w:rsid w:val="00233291"/>
    <w:rsid w:val="00234583"/>
    <w:rsid w:val="00235632"/>
    <w:rsid w:val="00235872"/>
    <w:rsid w:val="00235EB0"/>
    <w:rsid w:val="0023764E"/>
    <w:rsid w:val="00241559"/>
    <w:rsid w:val="002435B3"/>
    <w:rsid w:val="0024575E"/>
    <w:rsid w:val="002458EB"/>
    <w:rsid w:val="002500C8"/>
    <w:rsid w:val="00250451"/>
    <w:rsid w:val="0025072D"/>
    <w:rsid w:val="00252D88"/>
    <w:rsid w:val="00254C62"/>
    <w:rsid w:val="002573C7"/>
    <w:rsid w:val="00257543"/>
    <w:rsid w:val="00260406"/>
    <w:rsid w:val="002617E7"/>
    <w:rsid w:val="00263B71"/>
    <w:rsid w:val="00264228"/>
    <w:rsid w:val="00264334"/>
    <w:rsid w:val="0026473E"/>
    <w:rsid w:val="00266214"/>
    <w:rsid w:val="00267C83"/>
    <w:rsid w:val="0027144F"/>
    <w:rsid w:val="00271678"/>
    <w:rsid w:val="00271813"/>
    <w:rsid w:val="00271F3A"/>
    <w:rsid w:val="00273278"/>
    <w:rsid w:val="002737F4"/>
    <w:rsid w:val="002755BB"/>
    <w:rsid w:val="0027566D"/>
    <w:rsid w:val="002805F5"/>
    <w:rsid w:val="00280751"/>
    <w:rsid w:val="0028280A"/>
    <w:rsid w:val="00286ACD"/>
    <w:rsid w:val="00287838"/>
    <w:rsid w:val="002907B5"/>
    <w:rsid w:val="00290D3B"/>
    <w:rsid w:val="002917C9"/>
    <w:rsid w:val="00292EB7"/>
    <w:rsid w:val="00296227"/>
    <w:rsid w:val="0029632C"/>
    <w:rsid w:val="00296F44"/>
    <w:rsid w:val="0029777D"/>
    <w:rsid w:val="002A055E"/>
    <w:rsid w:val="002A0A49"/>
    <w:rsid w:val="002A1D4E"/>
    <w:rsid w:val="002A2869"/>
    <w:rsid w:val="002A2AD0"/>
    <w:rsid w:val="002A6AE1"/>
    <w:rsid w:val="002B24D6"/>
    <w:rsid w:val="002B5FE4"/>
    <w:rsid w:val="002C20A1"/>
    <w:rsid w:val="002C41E6"/>
    <w:rsid w:val="002C57A8"/>
    <w:rsid w:val="002D071A"/>
    <w:rsid w:val="002D11C0"/>
    <w:rsid w:val="002D1290"/>
    <w:rsid w:val="002D2210"/>
    <w:rsid w:val="002D2FFB"/>
    <w:rsid w:val="002D34B2"/>
    <w:rsid w:val="002D48B0"/>
    <w:rsid w:val="002D54C4"/>
    <w:rsid w:val="002D5B37"/>
    <w:rsid w:val="002D5F61"/>
    <w:rsid w:val="002D7637"/>
    <w:rsid w:val="002E17F2"/>
    <w:rsid w:val="002E7540"/>
    <w:rsid w:val="002E7CAE"/>
    <w:rsid w:val="002F0728"/>
    <w:rsid w:val="002F2771"/>
    <w:rsid w:val="002F37A9"/>
    <w:rsid w:val="002F3B80"/>
    <w:rsid w:val="00301022"/>
    <w:rsid w:val="00301CE6"/>
    <w:rsid w:val="0030256B"/>
    <w:rsid w:val="00302C68"/>
    <w:rsid w:val="0030501F"/>
    <w:rsid w:val="00305A78"/>
    <w:rsid w:val="00307BA1"/>
    <w:rsid w:val="00311702"/>
    <w:rsid w:val="00311E82"/>
    <w:rsid w:val="00312DBB"/>
    <w:rsid w:val="00313FD6"/>
    <w:rsid w:val="003143BD"/>
    <w:rsid w:val="00314A32"/>
    <w:rsid w:val="00315363"/>
    <w:rsid w:val="003203ED"/>
    <w:rsid w:val="00321C28"/>
    <w:rsid w:val="003221B2"/>
    <w:rsid w:val="00322C9F"/>
    <w:rsid w:val="00324095"/>
    <w:rsid w:val="003243B7"/>
    <w:rsid w:val="00324CD0"/>
    <w:rsid w:val="00324D23"/>
    <w:rsid w:val="00325250"/>
    <w:rsid w:val="003300D7"/>
    <w:rsid w:val="00331751"/>
    <w:rsid w:val="00331A0D"/>
    <w:rsid w:val="0033201C"/>
    <w:rsid w:val="003339DD"/>
    <w:rsid w:val="00333FFD"/>
    <w:rsid w:val="00334579"/>
    <w:rsid w:val="00335858"/>
    <w:rsid w:val="00336BDA"/>
    <w:rsid w:val="003375FB"/>
    <w:rsid w:val="0034051C"/>
    <w:rsid w:val="00342BD7"/>
    <w:rsid w:val="00342F3D"/>
    <w:rsid w:val="003459F6"/>
    <w:rsid w:val="00345B14"/>
    <w:rsid w:val="00346DB5"/>
    <w:rsid w:val="003477B1"/>
    <w:rsid w:val="003563CB"/>
    <w:rsid w:val="00357380"/>
    <w:rsid w:val="00357FC5"/>
    <w:rsid w:val="003602D9"/>
    <w:rsid w:val="003604CE"/>
    <w:rsid w:val="00363073"/>
    <w:rsid w:val="00366BF8"/>
    <w:rsid w:val="00367301"/>
    <w:rsid w:val="00367DDA"/>
    <w:rsid w:val="00370E47"/>
    <w:rsid w:val="0037258C"/>
    <w:rsid w:val="003742AC"/>
    <w:rsid w:val="00377744"/>
    <w:rsid w:val="00377CE1"/>
    <w:rsid w:val="00383BE8"/>
    <w:rsid w:val="00385BF0"/>
    <w:rsid w:val="00386EFC"/>
    <w:rsid w:val="003939FF"/>
    <w:rsid w:val="003A0601"/>
    <w:rsid w:val="003A2223"/>
    <w:rsid w:val="003A2A0F"/>
    <w:rsid w:val="003A3364"/>
    <w:rsid w:val="003A37A1"/>
    <w:rsid w:val="003A45A1"/>
    <w:rsid w:val="003A5B0A"/>
    <w:rsid w:val="003A6BAC"/>
    <w:rsid w:val="003A70A4"/>
    <w:rsid w:val="003A7DE0"/>
    <w:rsid w:val="003A7EF3"/>
    <w:rsid w:val="003B159C"/>
    <w:rsid w:val="003B369F"/>
    <w:rsid w:val="003B36A3"/>
    <w:rsid w:val="003B3AAA"/>
    <w:rsid w:val="003B469D"/>
    <w:rsid w:val="003B64BB"/>
    <w:rsid w:val="003B7199"/>
    <w:rsid w:val="003B72F7"/>
    <w:rsid w:val="003B7FE5"/>
    <w:rsid w:val="003C015F"/>
    <w:rsid w:val="003C11C8"/>
    <w:rsid w:val="003C1FBF"/>
    <w:rsid w:val="003C2702"/>
    <w:rsid w:val="003C31E0"/>
    <w:rsid w:val="003C3AC2"/>
    <w:rsid w:val="003C53A6"/>
    <w:rsid w:val="003C549F"/>
    <w:rsid w:val="003C7806"/>
    <w:rsid w:val="003C79C1"/>
    <w:rsid w:val="003D109F"/>
    <w:rsid w:val="003D2478"/>
    <w:rsid w:val="003D3C45"/>
    <w:rsid w:val="003D44DC"/>
    <w:rsid w:val="003D5B1F"/>
    <w:rsid w:val="003D7E6C"/>
    <w:rsid w:val="003E00D1"/>
    <w:rsid w:val="003E097B"/>
    <w:rsid w:val="003E15FA"/>
    <w:rsid w:val="003E2833"/>
    <w:rsid w:val="003E32DA"/>
    <w:rsid w:val="003E3FC7"/>
    <w:rsid w:val="003E55E4"/>
    <w:rsid w:val="003E6D9A"/>
    <w:rsid w:val="003E74E3"/>
    <w:rsid w:val="003F05C7"/>
    <w:rsid w:val="003F152A"/>
    <w:rsid w:val="003F241A"/>
    <w:rsid w:val="003F2CD4"/>
    <w:rsid w:val="003F534F"/>
    <w:rsid w:val="003F620A"/>
    <w:rsid w:val="003F6BBE"/>
    <w:rsid w:val="003F792D"/>
    <w:rsid w:val="004000E8"/>
    <w:rsid w:val="00402433"/>
    <w:rsid w:val="00402E2B"/>
    <w:rsid w:val="004032C5"/>
    <w:rsid w:val="0040512B"/>
    <w:rsid w:val="00405B48"/>
    <w:rsid w:val="00405CA5"/>
    <w:rsid w:val="00407CD3"/>
    <w:rsid w:val="00410134"/>
    <w:rsid w:val="00410B72"/>
    <w:rsid w:val="00410F18"/>
    <w:rsid w:val="0041263E"/>
    <w:rsid w:val="0041343B"/>
    <w:rsid w:val="00413A1E"/>
    <w:rsid w:val="00413AAC"/>
    <w:rsid w:val="00413E92"/>
    <w:rsid w:val="004154DB"/>
    <w:rsid w:val="004161DF"/>
    <w:rsid w:val="00421105"/>
    <w:rsid w:val="00422AA4"/>
    <w:rsid w:val="004242F4"/>
    <w:rsid w:val="00424BCB"/>
    <w:rsid w:val="00425415"/>
    <w:rsid w:val="00427248"/>
    <w:rsid w:val="00433A40"/>
    <w:rsid w:val="004359D0"/>
    <w:rsid w:val="00437447"/>
    <w:rsid w:val="00441A92"/>
    <w:rsid w:val="004431DC"/>
    <w:rsid w:val="00444F56"/>
    <w:rsid w:val="0044559D"/>
    <w:rsid w:val="00446488"/>
    <w:rsid w:val="00446CF0"/>
    <w:rsid w:val="0044765B"/>
    <w:rsid w:val="004517AA"/>
    <w:rsid w:val="004525B2"/>
    <w:rsid w:val="00452CAC"/>
    <w:rsid w:val="004549FF"/>
    <w:rsid w:val="004567AE"/>
    <w:rsid w:val="00457565"/>
    <w:rsid w:val="00457B71"/>
    <w:rsid w:val="00462E43"/>
    <w:rsid w:val="004669E2"/>
    <w:rsid w:val="0046750D"/>
    <w:rsid w:val="004707E1"/>
    <w:rsid w:val="00470A46"/>
    <w:rsid w:val="00470C31"/>
    <w:rsid w:val="004710C6"/>
    <w:rsid w:val="00471DE0"/>
    <w:rsid w:val="004732E2"/>
    <w:rsid w:val="004734D0"/>
    <w:rsid w:val="0047556B"/>
    <w:rsid w:val="00477768"/>
    <w:rsid w:val="0048473C"/>
    <w:rsid w:val="00484AC7"/>
    <w:rsid w:val="004912EB"/>
    <w:rsid w:val="00492BC5"/>
    <w:rsid w:val="00493A10"/>
    <w:rsid w:val="004960E0"/>
    <w:rsid w:val="004964F1"/>
    <w:rsid w:val="00496C9E"/>
    <w:rsid w:val="00497BFB"/>
    <w:rsid w:val="004A1434"/>
    <w:rsid w:val="004A16BC"/>
    <w:rsid w:val="004A2B94"/>
    <w:rsid w:val="004A41B9"/>
    <w:rsid w:val="004A5224"/>
    <w:rsid w:val="004A7730"/>
    <w:rsid w:val="004B6F6A"/>
    <w:rsid w:val="004B7C0C"/>
    <w:rsid w:val="004B7EFC"/>
    <w:rsid w:val="004C0F0C"/>
    <w:rsid w:val="004C3898"/>
    <w:rsid w:val="004C550A"/>
    <w:rsid w:val="004C6218"/>
    <w:rsid w:val="004C7F9B"/>
    <w:rsid w:val="004D36B1"/>
    <w:rsid w:val="004D7EBD"/>
    <w:rsid w:val="004E1672"/>
    <w:rsid w:val="004E2680"/>
    <w:rsid w:val="004E28F9"/>
    <w:rsid w:val="004E462E"/>
    <w:rsid w:val="004E56DC"/>
    <w:rsid w:val="004E5B72"/>
    <w:rsid w:val="004E7155"/>
    <w:rsid w:val="004E76F4"/>
    <w:rsid w:val="004F0B4E"/>
    <w:rsid w:val="004F0B6C"/>
    <w:rsid w:val="004F172A"/>
    <w:rsid w:val="004F17BB"/>
    <w:rsid w:val="004F2078"/>
    <w:rsid w:val="004F4DA3"/>
    <w:rsid w:val="004F6996"/>
    <w:rsid w:val="005055AF"/>
    <w:rsid w:val="00506557"/>
    <w:rsid w:val="0050677A"/>
    <w:rsid w:val="005108D8"/>
    <w:rsid w:val="005116F9"/>
    <w:rsid w:val="00511C47"/>
    <w:rsid w:val="00511C5C"/>
    <w:rsid w:val="00514A84"/>
    <w:rsid w:val="005153A7"/>
    <w:rsid w:val="005163E0"/>
    <w:rsid w:val="00516B52"/>
    <w:rsid w:val="00516B68"/>
    <w:rsid w:val="005219CF"/>
    <w:rsid w:val="0052366F"/>
    <w:rsid w:val="00532939"/>
    <w:rsid w:val="00534B59"/>
    <w:rsid w:val="00536759"/>
    <w:rsid w:val="00537323"/>
    <w:rsid w:val="00537C62"/>
    <w:rsid w:val="005401D8"/>
    <w:rsid w:val="0054075C"/>
    <w:rsid w:val="00542B0F"/>
    <w:rsid w:val="00546357"/>
    <w:rsid w:val="00546970"/>
    <w:rsid w:val="0054756D"/>
    <w:rsid w:val="005478D4"/>
    <w:rsid w:val="00551E3E"/>
    <w:rsid w:val="00552CD0"/>
    <w:rsid w:val="00552F42"/>
    <w:rsid w:val="00554E19"/>
    <w:rsid w:val="00555FFD"/>
    <w:rsid w:val="0056121F"/>
    <w:rsid w:val="005621C5"/>
    <w:rsid w:val="0056272C"/>
    <w:rsid w:val="0056372F"/>
    <w:rsid w:val="00564260"/>
    <w:rsid w:val="00564D07"/>
    <w:rsid w:val="0056644A"/>
    <w:rsid w:val="005673DE"/>
    <w:rsid w:val="005701D5"/>
    <w:rsid w:val="005723E0"/>
    <w:rsid w:val="00572505"/>
    <w:rsid w:val="005747A1"/>
    <w:rsid w:val="0057683D"/>
    <w:rsid w:val="00582809"/>
    <w:rsid w:val="00585A27"/>
    <w:rsid w:val="00586E94"/>
    <w:rsid w:val="0058798C"/>
    <w:rsid w:val="005900FA"/>
    <w:rsid w:val="0059043E"/>
    <w:rsid w:val="0059202D"/>
    <w:rsid w:val="005935A4"/>
    <w:rsid w:val="0059486D"/>
    <w:rsid w:val="005948C2"/>
    <w:rsid w:val="00595DCA"/>
    <w:rsid w:val="0059779B"/>
    <w:rsid w:val="005A209A"/>
    <w:rsid w:val="005A3F35"/>
    <w:rsid w:val="005A4238"/>
    <w:rsid w:val="005A564A"/>
    <w:rsid w:val="005A662D"/>
    <w:rsid w:val="005A7608"/>
    <w:rsid w:val="005B1409"/>
    <w:rsid w:val="005B21AE"/>
    <w:rsid w:val="005B35D7"/>
    <w:rsid w:val="005B392A"/>
    <w:rsid w:val="005B3AA3"/>
    <w:rsid w:val="005B5EC5"/>
    <w:rsid w:val="005B6F83"/>
    <w:rsid w:val="005B77BA"/>
    <w:rsid w:val="005C1AFE"/>
    <w:rsid w:val="005C36FA"/>
    <w:rsid w:val="005C45E9"/>
    <w:rsid w:val="005C4E50"/>
    <w:rsid w:val="005C74FB"/>
    <w:rsid w:val="005C7A4F"/>
    <w:rsid w:val="005D1602"/>
    <w:rsid w:val="005D261A"/>
    <w:rsid w:val="005D2838"/>
    <w:rsid w:val="005D2AC0"/>
    <w:rsid w:val="005D4A4F"/>
    <w:rsid w:val="005E01BC"/>
    <w:rsid w:val="005E385F"/>
    <w:rsid w:val="005E43BF"/>
    <w:rsid w:val="005E5B81"/>
    <w:rsid w:val="005F2CB1"/>
    <w:rsid w:val="005F3025"/>
    <w:rsid w:val="005F5614"/>
    <w:rsid w:val="005F618C"/>
    <w:rsid w:val="005F68AB"/>
    <w:rsid w:val="005F70BD"/>
    <w:rsid w:val="0060283C"/>
    <w:rsid w:val="00603689"/>
    <w:rsid w:val="00603ADC"/>
    <w:rsid w:val="00604F14"/>
    <w:rsid w:val="006075A0"/>
    <w:rsid w:val="00611B83"/>
    <w:rsid w:val="00613257"/>
    <w:rsid w:val="006165D1"/>
    <w:rsid w:val="006169E7"/>
    <w:rsid w:val="00616FAC"/>
    <w:rsid w:val="00617509"/>
    <w:rsid w:val="00620A71"/>
    <w:rsid w:val="00620D80"/>
    <w:rsid w:val="00621DB9"/>
    <w:rsid w:val="006225B5"/>
    <w:rsid w:val="006234A6"/>
    <w:rsid w:val="00623CBA"/>
    <w:rsid w:val="00624CBD"/>
    <w:rsid w:val="00626D10"/>
    <w:rsid w:val="00630001"/>
    <w:rsid w:val="00631178"/>
    <w:rsid w:val="006311B3"/>
    <w:rsid w:val="0063284C"/>
    <w:rsid w:val="00633761"/>
    <w:rsid w:val="00633836"/>
    <w:rsid w:val="00635C24"/>
    <w:rsid w:val="00636398"/>
    <w:rsid w:val="006368D3"/>
    <w:rsid w:val="006374DF"/>
    <w:rsid w:val="006377EC"/>
    <w:rsid w:val="00637D37"/>
    <w:rsid w:val="006407DB"/>
    <w:rsid w:val="0064151F"/>
    <w:rsid w:val="00641533"/>
    <w:rsid w:val="0064192B"/>
    <w:rsid w:val="0064208D"/>
    <w:rsid w:val="00642C19"/>
    <w:rsid w:val="00643475"/>
    <w:rsid w:val="0064396A"/>
    <w:rsid w:val="0064624E"/>
    <w:rsid w:val="00646B0F"/>
    <w:rsid w:val="006508A0"/>
    <w:rsid w:val="00650A28"/>
    <w:rsid w:val="00650AB9"/>
    <w:rsid w:val="00650B24"/>
    <w:rsid w:val="006517DB"/>
    <w:rsid w:val="00652503"/>
    <w:rsid w:val="00652F44"/>
    <w:rsid w:val="006545D5"/>
    <w:rsid w:val="00655733"/>
    <w:rsid w:val="00655ACD"/>
    <w:rsid w:val="00656A92"/>
    <w:rsid w:val="00656DDE"/>
    <w:rsid w:val="0066011D"/>
    <w:rsid w:val="006607C0"/>
    <w:rsid w:val="006613A6"/>
    <w:rsid w:val="006627A2"/>
    <w:rsid w:val="006630FB"/>
    <w:rsid w:val="006634E6"/>
    <w:rsid w:val="006655EE"/>
    <w:rsid w:val="00665F18"/>
    <w:rsid w:val="00667EE7"/>
    <w:rsid w:val="00670922"/>
    <w:rsid w:val="00670BE1"/>
    <w:rsid w:val="00670C82"/>
    <w:rsid w:val="0067218F"/>
    <w:rsid w:val="00673538"/>
    <w:rsid w:val="006741F2"/>
    <w:rsid w:val="00674CC3"/>
    <w:rsid w:val="00675C72"/>
    <w:rsid w:val="006771C5"/>
    <w:rsid w:val="006771F9"/>
    <w:rsid w:val="006776D7"/>
    <w:rsid w:val="006779FB"/>
    <w:rsid w:val="00681003"/>
    <w:rsid w:val="006817C9"/>
    <w:rsid w:val="00683ECE"/>
    <w:rsid w:val="00685C94"/>
    <w:rsid w:val="00685FA8"/>
    <w:rsid w:val="006873C6"/>
    <w:rsid w:val="0068754E"/>
    <w:rsid w:val="00691103"/>
    <w:rsid w:val="0069171A"/>
    <w:rsid w:val="00695FC2"/>
    <w:rsid w:val="00696949"/>
    <w:rsid w:val="00697052"/>
    <w:rsid w:val="006A46FB"/>
    <w:rsid w:val="006A5E28"/>
    <w:rsid w:val="006A697B"/>
    <w:rsid w:val="006A7AFF"/>
    <w:rsid w:val="006B1816"/>
    <w:rsid w:val="006B2099"/>
    <w:rsid w:val="006B2D65"/>
    <w:rsid w:val="006B50CF"/>
    <w:rsid w:val="006B6033"/>
    <w:rsid w:val="006C03B8"/>
    <w:rsid w:val="006C1A97"/>
    <w:rsid w:val="006C1CCF"/>
    <w:rsid w:val="006C1E6D"/>
    <w:rsid w:val="006C3DB3"/>
    <w:rsid w:val="006C3E0E"/>
    <w:rsid w:val="006C5EC9"/>
    <w:rsid w:val="006C6059"/>
    <w:rsid w:val="006C685A"/>
    <w:rsid w:val="006C7522"/>
    <w:rsid w:val="006D24E1"/>
    <w:rsid w:val="006D4FC1"/>
    <w:rsid w:val="006D5466"/>
    <w:rsid w:val="006D6F08"/>
    <w:rsid w:val="006E062C"/>
    <w:rsid w:val="006E1C82"/>
    <w:rsid w:val="006E28B7"/>
    <w:rsid w:val="006E2A9B"/>
    <w:rsid w:val="006E3310"/>
    <w:rsid w:val="006E4E39"/>
    <w:rsid w:val="006E565E"/>
    <w:rsid w:val="006E673D"/>
    <w:rsid w:val="006E6E76"/>
    <w:rsid w:val="006E742A"/>
    <w:rsid w:val="006E7D3B"/>
    <w:rsid w:val="006F067D"/>
    <w:rsid w:val="006F1B70"/>
    <w:rsid w:val="006F3126"/>
    <w:rsid w:val="006F341D"/>
    <w:rsid w:val="006F365A"/>
    <w:rsid w:val="006F3CDE"/>
    <w:rsid w:val="006F4DF9"/>
    <w:rsid w:val="006F5792"/>
    <w:rsid w:val="006F58D4"/>
    <w:rsid w:val="006F6582"/>
    <w:rsid w:val="00701F66"/>
    <w:rsid w:val="007023B7"/>
    <w:rsid w:val="0070346E"/>
    <w:rsid w:val="00704EDB"/>
    <w:rsid w:val="00705E4F"/>
    <w:rsid w:val="00706101"/>
    <w:rsid w:val="00706C4F"/>
    <w:rsid w:val="00707072"/>
    <w:rsid w:val="00707D61"/>
    <w:rsid w:val="00710947"/>
    <w:rsid w:val="00712287"/>
    <w:rsid w:val="00712772"/>
    <w:rsid w:val="007136CF"/>
    <w:rsid w:val="007148D3"/>
    <w:rsid w:val="00715B9A"/>
    <w:rsid w:val="0071680F"/>
    <w:rsid w:val="0072027B"/>
    <w:rsid w:val="00721FFA"/>
    <w:rsid w:val="007228BD"/>
    <w:rsid w:val="007236C5"/>
    <w:rsid w:val="007257D0"/>
    <w:rsid w:val="0072673D"/>
    <w:rsid w:val="0072699A"/>
    <w:rsid w:val="00726EA6"/>
    <w:rsid w:val="00727208"/>
    <w:rsid w:val="00727680"/>
    <w:rsid w:val="00727A5E"/>
    <w:rsid w:val="00727BDF"/>
    <w:rsid w:val="00730C85"/>
    <w:rsid w:val="0073122A"/>
    <w:rsid w:val="007348B1"/>
    <w:rsid w:val="007362A6"/>
    <w:rsid w:val="00736D7D"/>
    <w:rsid w:val="00740E58"/>
    <w:rsid w:val="007418AA"/>
    <w:rsid w:val="007445A0"/>
    <w:rsid w:val="00744B4E"/>
    <w:rsid w:val="0074524B"/>
    <w:rsid w:val="00745347"/>
    <w:rsid w:val="007474FC"/>
    <w:rsid w:val="00747D8B"/>
    <w:rsid w:val="00751228"/>
    <w:rsid w:val="00751E2B"/>
    <w:rsid w:val="0075428B"/>
    <w:rsid w:val="007571E1"/>
    <w:rsid w:val="00757A16"/>
    <w:rsid w:val="007604B2"/>
    <w:rsid w:val="0076068C"/>
    <w:rsid w:val="00760C2D"/>
    <w:rsid w:val="00763F66"/>
    <w:rsid w:val="00765281"/>
    <w:rsid w:val="00766144"/>
    <w:rsid w:val="00766BAD"/>
    <w:rsid w:val="00767C9C"/>
    <w:rsid w:val="007729A2"/>
    <w:rsid w:val="0077397B"/>
    <w:rsid w:val="0077414F"/>
    <w:rsid w:val="00775499"/>
    <w:rsid w:val="007755F2"/>
    <w:rsid w:val="00775D6F"/>
    <w:rsid w:val="00776971"/>
    <w:rsid w:val="00776D9C"/>
    <w:rsid w:val="007770F9"/>
    <w:rsid w:val="00777F2B"/>
    <w:rsid w:val="00780A80"/>
    <w:rsid w:val="0078177E"/>
    <w:rsid w:val="0078304C"/>
    <w:rsid w:val="00783673"/>
    <w:rsid w:val="007841EB"/>
    <w:rsid w:val="00784AD6"/>
    <w:rsid w:val="00785490"/>
    <w:rsid w:val="007862DA"/>
    <w:rsid w:val="007925EA"/>
    <w:rsid w:val="007939AB"/>
    <w:rsid w:val="00793CD8"/>
    <w:rsid w:val="00795863"/>
    <w:rsid w:val="00795C92"/>
    <w:rsid w:val="00796231"/>
    <w:rsid w:val="00796C82"/>
    <w:rsid w:val="00797520"/>
    <w:rsid w:val="007A0BD8"/>
    <w:rsid w:val="007A1CB3"/>
    <w:rsid w:val="007A306F"/>
    <w:rsid w:val="007A333A"/>
    <w:rsid w:val="007A43A6"/>
    <w:rsid w:val="007A58A6"/>
    <w:rsid w:val="007A7F25"/>
    <w:rsid w:val="007B2AB2"/>
    <w:rsid w:val="007B3D2D"/>
    <w:rsid w:val="007B45F3"/>
    <w:rsid w:val="007B50AE"/>
    <w:rsid w:val="007B51DF"/>
    <w:rsid w:val="007B7DA2"/>
    <w:rsid w:val="007B7E30"/>
    <w:rsid w:val="007C05DD"/>
    <w:rsid w:val="007C3D18"/>
    <w:rsid w:val="007C60BF"/>
    <w:rsid w:val="007C6A07"/>
    <w:rsid w:val="007C75A1"/>
    <w:rsid w:val="007C77A5"/>
    <w:rsid w:val="007D04E5"/>
    <w:rsid w:val="007D1C94"/>
    <w:rsid w:val="007D5901"/>
    <w:rsid w:val="007D6D48"/>
    <w:rsid w:val="007D7526"/>
    <w:rsid w:val="007E01B9"/>
    <w:rsid w:val="007E16E0"/>
    <w:rsid w:val="007E2337"/>
    <w:rsid w:val="007E4610"/>
    <w:rsid w:val="007E4715"/>
    <w:rsid w:val="007E505B"/>
    <w:rsid w:val="007E7091"/>
    <w:rsid w:val="007F164F"/>
    <w:rsid w:val="007F57EE"/>
    <w:rsid w:val="007F7DEC"/>
    <w:rsid w:val="00800A94"/>
    <w:rsid w:val="00803071"/>
    <w:rsid w:val="00803FAE"/>
    <w:rsid w:val="008058B2"/>
    <w:rsid w:val="0080605F"/>
    <w:rsid w:val="00807786"/>
    <w:rsid w:val="00811FCB"/>
    <w:rsid w:val="00812CEA"/>
    <w:rsid w:val="008146C7"/>
    <w:rsid w:val="008158D6"/>
    <w:rsid w:val="00817196"/>
    <w:rsid w:val="0082147E"/>
    <w:rsid w:val="00821C1B"/>
    <w:rsid w:val="008235DB"/>
    <w:rsid w:val="008235E4"/>
    <w:rsid w:val="00824AB4"/>
    <w:rsid w:val="0082582A"/>
    <w:rsid w:val="00825C42"/>
    <w:rsid w:val="00825D25"/>
    <w:rsid w:val="00826D46"/>
    <w:rsid w:val="00827D6F"/>
    <w:rsid w:val="00831303"/>
    <w:rsid w:val="008324B9"/>
    <w:rsid w:val="00833435"/>
    <w:rsid w:val="00835595"/>
    <w:rsid w:val="008376AC"/>
    <w:rsid w:val="008405C8"/>
    <w:rsid w:val="0084080C"/>
    <w:rsid w:val="00840B4D"/>
    <w:rsid w:val="008430E1"/>
    <w:rsid w:val="008443CE"/>
    <w:rsid w:val="008444E8"/>
    <w:rsid w:val="00844E80"/>
    <w:rsid w:val="0084651E"/>
    <w:rsid w:val="0084688A"/>
    <w:rsid w:val="00846FE7"/>
    <w:rsid w:val="008520D2"/>
    <w:rsid w:val="00854996"/>
    <w:rsid w:val="0085529C"/>
    <w:rsid w:val="008554FA"/>
    <w:rsid w:val="00856911"/>
    <w:rsid w:val="008636E2"/>
    <w:rsid w:val="00866C08"/>
    <w:rsid w:val="008677FD"/>
    <w:rsid w:val="008706D4"/>
    <w:rsid w:val="00870F8A"/>
    <w:rsid w:val="008712AD"/>
    <w:rsid w:val="008719A4"/>
    <w:rsid w:val="00871D23"/>
    <w:rsid w:val="00874312"/>
    <w:rsid w:val="0087437C"/>
    <w:rsid w:val="00875CD7"/>
    <w:rsid w:val="00876495"/>
    <w:rsid w:val="00876B4D"/>
    <w:rsid w:val="00877F18"/>
    <w:rsid w:val="00882921"/>
    <w:rsid w:val="008941E3"/>
    <w:rsid w:val="00894A88"/>
    <w:rsid w:val="00894D84"/>
    <w:rsid w:val="00895386"/>
    <w:rsid w:val="00896B5A"/>
    <w:rsid w:val="008A1622"/>
    <w:rsid w:val="008A21FF"/>
    <w:rsid w:val="008A2CE2"/>
    <w:rsid w:val="008A30AC"/>
    <w:rsid w:val="008A44B8"/>
    <w:rsid w:val="008A51A8"/>
    <w:rsid w:val="008A54C7"/>
    <w:rsid w:val="008A77D8"/>
    <w:rsid w:val="008B0483"/>
    <w:rsid w:val="008B0995"/>
    <w:rsid w:val="008B120C"/>
    <w:rsid w:val="008B13C8"/>
    <w:rsid w:val="008B2C90"/>
    <w:rsid w:val="008B4523"/>
    <w:rsid w:val="008B51A0"/>
    <w:rsid w:val="008B5570"/>
    <w:rsid w:val="008B592A"/>
    <w:rsid w:val="008B5B82"/>
    <w:rsid w:val="008B6EA1"/>
    <w:rsid w:val="008B7B5C"/>
    <w:rsid w:val="008C0C99"/>
    <w:rsid w:val="008C2017"/>
    <w:rsid w:val="008C4958"/>
    <w:rsid w:val="008C4BAA"/>
    <w:rsid w:val="008C6105"/>
    <w:rsid w:val="008C62C3"/>
    <w:rsid w:val="008C6AE8"/>
    <w:rsid w:val="008C7573"/>
    <w:rsid w:val="008D00A5"/>
    <w:rsid w:val="008D04AF"/>
    <w:rsid w:val="008D111F"/>
    <w:rsid w:val="008D1A30"/>
    <w:rsid w:val="008D34F1"/>
    <w:rsid w:val="008D39D8"/>
    <w:rsid w:val="008D5F34"/>
    <w:rsid w:val="008D6D1A"/>
    <w:rsid w:val="008D784F"/>
    <w:rsid w:val="008E065E"/>
    <w:rsid w:val="008E0927"/>
    <w:rsid w:val="008E1909"/>
    <w:rsid w:val="008E2830"/>
    <w:rsid w:val="008E4816"/>
    <w:rsid w:val="008E7053"/>
    <w:rsid w:val="008F05B1"/>
    <w:rsid w:val="008F1EAB"/>
    <w:rsid w:val="008F33DC"/>
    <w:rsid w:val="008F477F"/>
    <w:rsid w:val="008F53FB"/>
    <w:rsid w:val="008F5B40"/>
    <w:rsid w:val="00902350"/>
    <w:rsid w:val="0090336B"/>
    <w:rsid w:val="009053AA"/>
    <w:rsid w:val="009060A3"/>
    <w:rsid w:val="00906939"/>
    <w:rsid w:val="00910B7D"/>
    <w:rsid w:val="00911871"/>
    <w:rsid w:val="00911ADD"/>
    <w:rsid w:val="00911DFB"/>
    <w:rsid w:val="009139D9"/>
    <w:rsid w:val="00913CF6"/>
    <w:rsid w:val="00914074"/>
    <w:rsid w:val="00914AD8"/>
    <w:rsid w:val="00916079"/>
    <w:rsid w:val="00917CE9"/>
    <w:rsid w:val="00920BF2"/>
    <w:rsid w:val="00922010"/>
    <w:rsid w:val="00926472"/>
    <w:rsid w:val="009277D1"/>
    <w:rsid w:val="00930919"/>
    <w:rsid w:val="00931095"/>
    <w:rsid w:val="00931BD9"/>
    <w:rsid w:val="00932447"/>
    <w:rsid w:val="00933257"/>
    <w:rsid w:val="009339A7"/>
    <w:rsid w:val="009340F1"/>
    <w:rsid w:val="00934A06"/>
    <w:rsid w:val="00936845"/>
    <w:rsid w:val="009368F3"/>
    <w:rsid w:val="00941636"/>
    <w:rsid w:val="00943742"/>
    <w:rsid w:val="00945C05"/>
    <w:rsid w:val="00946945"/>
    <w:rsid w:val="00947713"/>
    <w:rsid w:val="0095064E"/>
    <w:rsid w:val="00950DE7"/>
    <w:rsid w:val="00953920"/>
    <w:rsid w:val="00953D47"/>
    <w:rsid w:val="00955132"/>
    <w:rsid w:val="0095681E"/>
    <w:rsid w:val="009572D4"/>
    <w:rsid w:val="00961921"/>
    <w:rsid w:val="00963F81"/>
    <w:rsid w:val="00964214"/>
    <w:rsid w:val="0096430A"/>
    <w:rsid w:val="00965073"/>
    <w:rsid w:val="00965195"/>
    <w:rsid w:val="0096554B"/>
    <w:rsid w:val="0096584A"/>
    <w:rsid w:val="009665FB"/>
    <w:rsid w:val="009706FF"/>
    <w:rsid w:val="00971F08"/>
    <w:rsid w:val="00975083"/>
    <w:rsid w:val="0097603D"/>
    <w:rsid w:val="0097643D"/>
    <w:rsid w:val="00976949"/>
    <w:rsid w:val="00980477"/>
    <w:rsid w:val="00981082"/>
    <w:rsid w:val="009838B1"/>
    <w:rsid w:val="00984E03"/>
    <w:rsid w:val="00985253"/>
    <w:rsid w:val="009853B3"/>
    <w:rsid w:val="00990630"/>
    <w:rsid w:val="00991761"/>
    <w:rsid w:val="00991966"/>
    <w:rsid w:val="00994DCA"/>
    <w:rsid w:val="009960EC"/>
    <w:rsid w:val="009970DD"/>
    <w:rsid w:val="00997469"/>
    <w:rsid w:val="009A0FBA"/>
    <w:rsid w:val="009A1601"/>
    <w:rsid w:val="009A189E"/>
    <w:rsid w:val="009A3BB6"/>
    <w:rsid w:val="009A462D"/>
    <w:rsid w:val="009A585D"/>
    <w:rsid w:val="009A5CBA"/>
    <w:rsid w:val="009B04C8"/>
    <w:rsid w:val="009B08C1"/>
    <w:rsid w:val="009B1F30"/>
    <w:rsid w:val="009B3AC2"/>
    <w:rsid w:val="009B3BFB"/>
    <w:rsid w:val="009B4DF4"/>
    <w:rsid w:val="009B4F02"/>
    <w:rsid w:val="009B564E"/>
    <w:rsid w:val="009B7609"/>
    <w:rsid w:val="009B7E87"/>
    <w:rsid w:val="009C0169"/>
    <w:rsid w:val="009C295B"/>
    <w:rsid w:val="009C403E"/>
    <w:rsid w:val="009C74D7"/>
    <w:rsid w:val="009D0A97"/>
    <w:rsid w:val="009D1D0D"/>
    <w:rsid w:val="009D3238"/>
    <w:rsid w:val="009D4FF0"/>
    <w:rsid w:val="009D703C"/>
    <w:rsid w:val="009D718F"/>
    <w:rsid w:val="009E068F"/>
    <w:rsid w:val="009E06EC"/>
    <w:rsid w:val="009E14E0"/>
    <w:rsid w:val="009E271E"/>
    <w:rsid w:val="009E35DB"/>
    <w:rsid w:val="009E4250"/>
    <w:rsid w:val="009E47A3"/>
    <w:rsid w:val="009F08F3"/>
    <w:rsid w:val="009F344F"/>
    <w:rsid w:val="009F3B4A"/>
    <w:rsid w:val="009F7C27"/>
    <w:rsid w:val="00A01AF5"/>
    <w:rsid w:val="00A031D8"/>
    <w:rsid w:val="00A046E3"/>
    <w:rsid w:val="00A048A8"/>
    <w:rsid w:val="00A04F49"/>
    <w:rsid w:val="00A10AE1"/>
    <w:rsid w:val="00A11E4C"/>
    <w:rsid w:val="00A13E54"/>
    <w:rsid w:val="00A15233"/>
    <w:rsid w:val="00A17BB9"/>
    <w:rsid w:val="00A17F63"/>
    <w:rsid w:val="00A2193B"/>
    <w:rsid w:val="00A227D5"/>
    <w:rsid w:val="00A2302F"/>
    <w:rsid w:val="00A2351A"/>
    <w:rsid w:val="00A24D61"/>
    <w:rsid w:val="00A25F6A"/>
    <w:rsid w:val="00A264A9"/>
    <w:rsid w:val="00A26DCF"/>
    <w:rsid w:val="00A27785"/>
    <w:rsid w:val="00A30187"/>
    <w:rsid w:val="00A30376"/>
    <w:rsid w:val="00A3448A"/>
    <w:rsid w:val="00A34827"/>
    <w:rsid w:val="00A36297"/>
    <w:rsid w:val="00A3665F"/>
    <w:rsid w:val="00A36B5D"/>
    <w:rsid w:val="00A41E2B"/>
    <w:rsid w:val="00A42745"/>
    <w:rsid w:val="00A450EB"/>
    <w:rsid w:val="00A45B74"/>
    <w:rsid w:val="00A50106"/>
    <w:rsid w:val="00A52905"/>
    <w:rsid w:val="00A52E1D"/>
    <w:rsid w:val="00A53004"/>
    <w:rsid w:val="00A61499"/>
    <w:rsid w:val="00A62A77"/>
    <w:rsid w:val="00A63483"/>
    <w:rsid w:val="00A6510F"/>
    <w:rsid w:val="00A657D7"/>
    <w:rsid w:val="00A660AC"/>
    <w:rsid w:val="00A674AF"/>
    <w:rsid w:val="00A67E6C"/>
    <w:rsid w:val="00A71B99"/>
    <w:rsid w:val="00A71D2F"/>
    <w:rsid w:val="00A739D0"/>
    <w:rsid w:val="00A761D4"/>
    <w:rsid w:val="00A764AC"/>
    <w:rsid w:val="00A77EC4"/>
    <w:rsid w:val="00A77F04"/>
    <w:rsid w:val="00A84E84"/>
    <w:rsid w:val="00A87A51"/>
    <w:rsid w:val="00A87F44"/>
    <w:rsid w:val="00A92879"/>
    <w:rsid w:val="00A9442A"/>
    <w:rsid w:val="00A96A30"/>
    <w:rsid w:val="00A97AA6"/>
    <w:rsid w:val="00AA016F"/>
    <w:rsid w:val="00AA1ED6"/>
    <w:rsid w:val="00AA3FA3"/>
    <w:rsid w:val="00AA51D6"/>
    <w:rsid w:val="00AA6F8F"/>
    <w:rsid w:val="00AB0BC8"/>
    <w:rsid w:val="00AB11CA"/>
    <w:rsid w:val="00AB14D9"/>
    <w:rsid w:val="00AB1A25"/>
    <w:rsid w:val="00AB23A2"/>
    <w:rsid w:val="00AB4AB8"/>
    <w:rsid w:val="00AB655E"/>
    <w:rsid w:val="00AC007F"/>
    <w:rsid w:val="00AC164D"/>
    <w:rsid w:val="00AC2ECD"/>
    <w:rsid w:val="00AC3119"/>
    <w:rsid w:val="00AC49FB"/>
    <w:rsid w:val="00AC5A10"/>
    <w:rsid w:val="00AC6817"/>
    <w:rsid w:val="00AD0AA3"/>
    <w:rsid w:val="00AD10A7"/>
    <w:rsid w:val="00AD3F49"/>
    <w:rsid w:val="00AD3F5D"/>
    <w:rsid w:val="00AD3F94"/>
    <w:rsid w:val="00AD4A5A"/>
    <w:rsid w:val="00AE27AC"/>
    <w:rsid w:val="00AE40E0"/>
    <w:rsid w:val="00AE4DBA"/>
    <w:rsid w:val="00AE4F07"/>
    <w:rsid w:val="00AE7DE4"/>
    <w:rsid w:val="00AF0BDE"/>
    <w:rsid w:val="00AF1C5D"/>
    <w:rsid w:val="00AF200C"/>
    <w:rsid w:val="00AF33F4"/>
    <w:rsid w:val="00AF387E"/>
    <w:rsid w:val="00AF42D7"/>
    <w:rsid w:val="00AF785B"/>
    <w:rsid w:val="00B006FE"/>
    <w:rsid w:val="00B007CB"/>
    <w:rsid w:val="00B02AA9"/>
    <w:rsid w:val="00B02FA3"/>
    <w:rsid w:val="00B04F41"/>
    <w:rsid w:val="00B05084"/>
    <w:rsid w:val="00B12443"/>
    <w:rsid w:val="00B1273C"/>
    <w:rsid w:val="00B14249"/>
    <w:rsid w:val="00B157F9"/>
    <w:rsid w:val="00B15CEB"/>
    <w:rsid w:val="00B20256"/>
    <w:rsid w:val="00B20D09"/>
    <w:rsid w:val="00B210DC"/>
    <w:rsid w:val="00B226BE"/>
    <w:rsid w:val="00B23559"/>
    <w:rsid w:val="00B2763F"/>
    <w:rsid w:val="00B27AAC"/>
    <w:rsid w:val="00B30929"/>
    <w:rsid w:val="00B32279"/>
    <w:rsid w:val="00B37116"/>
    <w:rsid w:val="00B372AA"/>
    <w:rsid w:val="00B40445"/>
    <w:rsid w:val="00B409E0"/>
    <w:rsid w:val="00B4121E"/>
    <w:rsid w:val="00B412CE"/>
    <w:rsid w:val="00B41888"/>
    <w:rsid w:val="00B42661"/>
    <w:rsid w:val="00B43863"/>
    <w:rsid w:val="00B45A52"/>
    <w:rsid w:val="00B45AB4"/>
    <w:rsid w:val="00B46175"/>
    <w:rsid w:val="00B51D07"/>
    <w:rsid w:val="00B52F17"/>
    <w:rsid w:val="00B548B7"/>
    <w:rsid w:val="00B558F8"/>
    <w:rsid w:val="00B60195"/>
    <w:rsid w:val="00B60BA7"/>
    <w:rsid w:val="00B660B1"/>
    <w:rsid w:val="00B66482"/>
    <w:rsid w:val="00B664C7"/>
    <w:rsid w:val="00B67775"/>
    <w:rsid w:val="00B67BAC"/>
    <w:rsid w:val="00B709C7"/>
    <w:rsid w:val="00B739F6"/>
    <w:rsid w:val="00B76594"/>
    <w:rsid w:val="00B81A6C"/>
    <w:rsid w:val="00B85DE5"/>
    <w:rsid w:val="00B87674"/>
    <w:rsid w:val="00B879B8"/>
    <w:rsid w:val="00B90F73"/>
    <w:rsid w:val="00B93B59"/>
    <w:rsid w:val="00B9406A"/>
    <w:rsid w:val="00B97C62"/>
    <w:rsid w:val="00BA072D"/>
    <w:rsid w:val="00BA072F"/>
    <w:rsid w:val="00BA19E1"/>
    <w:rsid w:val="00BA2280"/>
    <w:rsid w:val="00BA2A08"/>
    <w:rsid w:val="00BA3F34"/>
    <w:rsid w:val="00BA4F57"/>
    <w:rsid w:val="00BA56D2"/>
    <w:rsid w:val="00BA76E0"/>
    <w:rsid w:val="00BB2A25"/>
    <w:rsid w:val="00BB44B7"/>
    <w:rsid w:val="00BB51E9"/>
    <w:rsid w:val="00BB5FA1"/>
    <w:rsid w:val="00BC0FDC"/>
    <w:rsid w:val="00BC1DF0"/>
    <w:rsid w:val="00BC2867"/>
    <w:rsid w:val="00BC3053"/>
    <w:rsid w:val="00BC4726"/>
    <w:rsid w:val="00BC4A0A"/>
    <w:rsid w:val="00BC4D2E"/>
    <w:rsid w:val="00BC6BEB"/>
    <w:rsid w:val="00BC6E53"/>
    <w:rsid w:val="00BD2686"/>
    <w:rsid w:val="00BD48AC"/>
    <w:rsid w:val="00BD5F1A"/>
    <w:rsid w:val="00BE0CB3"/>
    <w:rsid w:val="00BE1234"/>
    <w:rsid w:val="00BE2FA6"/>
    <w:rsid w:val="00BE333F"/>
    <w:rsid w:val="00BE426B"/>
    <w:rsid w:val="00BE7406"/>
    <w:rsid w:val="00BE7603"/>
    <w:rsid w:val="00BF02DE"/>
    <w:rsid w:val="00BF3279"/>
    <w:rsid w:val="00BF74C7"/>
    <w:rsid w:val="00C015F1"/>
    <w:rsid w:val="00C01F33"/>
    <w:rsid w:val="00C0279E"/>
    <w:rsid w:val="00C02CC6"/>
    <w:rsid w:val="00C03456"/>
    <w:rsid w:val="00C0395D"/>
    <w:rsid w:val="00C040F7"/>
    <w:rsid w:val="00C044AB"/>
    <w:rsid w:val="00C05706"/>
    <w:rsid w:val="00C07377"/>
    <w:rsid w:val="00C10478"/>
    <w:rsid w:val="00C11CAE"/>
    <w:rsid w:val="00C12107"/>
    <w:rsid w:val="00C14D4B"/>
    <w:rsid w:val="00C154BB"/>
    <w:rsid w:val="00C15CC3"/>
    <w:rsid w:val="00C20739"/>
    <w:rsid w:val="00C207A5"/>
    <w:rsid w:val="00C22870"/>
    <w:rsid w:val="00C259C2"/>
    <w:rsid w:val="00C279B5"/>
    <w:rsid w:val="00C27C45"/>
    <w:rsid w:val="00C309F8"/>
    <w:rsid w:val="00C32939"/>
    <w:rsid w:val="00C352C2"/>
    <w:rsid w:val="00C35FA4"/>
    <w:rsid w:val="00C3719D"/>
    <w:rsid w:val="00C371B4"/>
    <w:rsid w:val="00C37CB2"/>
    <w:rsid w:val="00C37E87"/>
    <w:rsid w:val="00C44F08"/>
    <w:rsid w:val="00C473A5"/>
    <w:rsid w:val="00C477F0"/>
    <w:rsid w:val="00C50D3A"/>
    <w:rsid w:val="00C51AEA"/>
    <w:rsid w:val="00C54995"/>
    <w:rsid w:val="00C54D41"/>
    <w:rsid w:val="00C566C3"/>
    <w:rsid w:val="00C56CD4"/>
    <w:rsid w:val="00C60705"/>
    <w:rsid w:val="00C60783"/>
    <w:rsid w:val="00C62604"/>
    <w:rsid w:val="00C6419F"/>
    <w:rsid w:val="00C64672"/>
    <w:rsid w:val="00C6604B"/>
    <w:rsid w:val="00C6776E"/>
    <w:rsid w:val="00C70697"/>
    <w:rsid w:val="00C72093"/>
    <w:rsid w:val="00C72EF4"/>
    <w:rsid w:val="00C744FE"/>
    <w:rsid w:val="00C74E0E"/>
    <w:rsid w:val="00C75D2F"/>
    <w:rsid w:val="00C767BE"/>
    <w:rsid w:val="00C76E3C"/>
    <w:rsid w:val="00C7761A"/>
    <w:rsid w:val="00C8082F"/>
    <w:rsid w:val="00C80B50"/>
    <w:rsid w:val="00C8153B"/>
    <w:rsid w:val="00C81568"/>
    <w:rsid w:val="00C83BB2"/>
    <w:rsid w:val="00C86A36"/>
    <w:rsid w:val="00C8730F"/>
    <w:rsid w:val="00C9027A"/>
    <w:rsid w:val="00C9068E"/>
    <w:rsid w:val="00C91DAF"/>
    <w:rsid w:val="00C92683"/>
    <w:rsid w:val="00C93814"/>
    <w:rsid w:val="00C93C4B"/>
    <w:rsid w:val="00C944AB"/>
    <w:rsid w:val="00C955D8"/>
    <w:rsid w:val="00C95B40"/>
    <w:rsid w:val="00C96E70"/>
    <w:rsid w:val="00C978B0"/>
    <w:rsid w:val="00C97CFE"/>
    <w:rsid w:val="00CA0463"/>
    <w:rsid w:val="00CA08ED"/>
    <w:rsid w:val="00CA1ED8"/>
    <w:rsid w:val="00CA1FC6"/>
    <w:rsid w:val="00CA29A9"/>
    <w:rsid w:val="00CA375F"/>
    <w:rsid w:val="00CB192E"/>
    <w:rsid w:val="00CB1F63"/>
    <w:rsid w:val="00CB3228"/>
    <w:rsid w:val="00CB4EAE"/>
    <w:rsid w:val="00CB549C"/>
    <w:rsid w:val="00CB7170"/>
    <w:rsid w:val="00CC040E"/>
    <w:rsid w:val="00CC111F"/>
    <w:rsid w:val="00CC2011"/>
    <w:rsid w:val="00CC3EA0"/>
    <w:rsid w:val="00CC47CF"/>
    <w:rsid w:val="00CC4B6D"/>
    <w:rsid w:val="00CC7B45"/>
    <w:rsid w:val="00CD1188"/>
    <w:rsid w:val="00CD118D"/>
    <w:rsid w:val="00CD1758"/>
    <w:rsid w:val="00CD2ED1"/>
    <w:rsid w:val="00CD337B"/>
    <w:rsid w:val="00CD491C"/>
    <w:rsid w:val="00CD6966"/>
    <w:rsid w:val="00CD70B6"/>
    <w:rsid w:val="00CE0424"/>
    <w:rsid w:val="00CE4C93"/>
    <w:rsid w:val="00CE4EDD"/>
    <w:rsid w:val="00CE7561"/>
    <w:rsid w:val="00CF0BCC"/>
    <w:rsid w:val="00CF1354"/>
    <w:rsid w:val="00CF3B1F"/>
    <w:rsid w:val="00CF3BF6"/>
    <w:rsid w:val="00CF625B"/>
    <w:rsid w:val="00CF687E"/>
    <w:rsid w:val="00D022A5"/>
    <w:rsid w:val="00D0349B"/>
    <w:rsid w:val="00D10249"/>
    <w:rsid w:val="00D115C3"/>
    <w:rsid w:val="00D11897"/>
    <w:rsid w:val="00D13135"/>
    <w:rsid w:val="00D13698"/>
    <w:rsid w:val="00D13E4E"/>
    <w:rsid w:val="00D239A7"/>
    <w:rsid w:val="00D23F47"/>
    <w:rsid w:val="00D265FE"/>
    <w:rsid w:val="00D27092"/>
    <w:rsid w:val="00D3157D"/>
    <w:rsid w:val="00D332CF"/>
    <w:rsid w:val="00D35BCE"/>
    <w:rsid w:val="00D36E71"/>
    <w:rsid w:val="00D37D87"/>
    <w:rsid w:val="00D40B33"/>
    <w:rsid w:val="00D422FC"/>
    <w:rsid w:val="00D427B7"/>
    <w:rsid w:val="00D4318F"/>
    <w:rsid w:val="00D438BF"/>
    <w:rsid w:val="00D43C0A"/>
    <w:rsid w:val="00D440F8"/>
    <w:rsid w:val="00D469CF"/>
    <w:rsid w:val="00D47C62"/>
    <w:rsid w:val="00D546FF"/>
    <w:rsid w:val="00D547CB"/>
    <w:rsid w:val="00D55AD5"/>
    <w:rsid w:val="00D56ABE"/>
    <w:rsid w:val="00D576CA"/>
    <w:rsid w:val="00D60DFE"/>
    <w:rsid w:val="00D61AF5"/>
    <w:rsid w:val="00D62CE5"/>
    <w:rsid w:val="00D64F5F"/>
    <w:rsid w:val="00D652B5"/>
    <w:rsid w:val="00D65E71"/>
    <w:rsid w:val="00D66155"/>
    <w:rsid w:val="00D708B0"/>
    <w:rsid w:val="00D7485B"/>
    <w:rsid w:val="00D77B1D"/>
    <w:rsid w:val="00D8021F"/>
    <w:rsid w:val="00D80383"/>
    <w:rsid w:val="00D820DD"/>
    <w:rsid w:val="00D823C6"/>
    <w:rsid w:val="00D831C1"/>
    <w:rsid w:val="00D8327F"/>
    <w:rsid w:val="00D83488"/>
    <w:rsid w:val="00D8472D"/>
    <w:rsid w:val="00D84E88"/>
    <w:rsid w:val="00D864E1"/>
    <w:rsid w:val="00D86609"/>
    <w:rsid w:val="00D86CA3"/>
    <w:rsid w:val="00D871CE"/>
    <w:rsid w:val="00D8769C"/>
    <w:rsid w:val="00D9196D"/>
    <w:rsid w:val="00D92982"/>
    <w:rsid w:val="00D96189"/>
    <w:rsid w:val="00DA15E3"/>
    <w:rsid w:val="00DA305E"/>
    <w:rsid w:val="00DA4657"/>
    <w:rsid w:val="00DA523B"/>
    <w:rsid w:val="00DA5417"/>
    <w:rsid w:val="00DA56E8"/>
    <w:rsid w:val="00DB0A9F"/>
    <w:rsid w:val="00DB377D"/>
    <w:rsid w:val="00DB3B99"/>
    <w:rsid w:val="00DB4E5A"/>
    <w:rsid w:val="00DC2D36"/>
    <w:rsid w:val="00DC2E10"/>
    <w:rsid w:val="00DC4E5E"/>
    <w:rsid w:val="00DC53EF"/>
    <w:rsid w:val="00DC561F"/>
    <w:rsid w:val="00DC728B"/>
    <w:rsid w:val="00DC7CE5"/>
    <w:rsid w:val="00DD0087"/>
    <w:rsid w:val="00DD02CF"/>
    <w:rsid w:val="00DD1BC3"/>
    <w:rsid w:val="00DE4CE5"/>
    <w:rsid w:val="00DE5608"/>
    <w:rsid w:val="00DE58D0"/>
    <w:rsid w:val="00DE654F"/>
    <w:rsid w:val="00DF00BD"/>
    <w:rsid w:val="00DF0B6E"/>
    <w:rsid w:val="00DF0CE4"/>
    <w:rsid w:val="00DF15E0"/>
    <w:rsid w:val="00DF37A0"/>
    <w:rsid w:val="00DF48AE"/>
    <w:rsid w:val="00E00824"/>
    <w:rsid w:val="00E04F90"/>
    <w:rsid w:val="00E06626"/>
    <w:rsid w:val="00E06CED"/>
    <w:rsid w:val="00E07E45"/>
    <w:rsid w:val="00E110E7"/>
    <w:rsid w:val="00E11936"/>
    <w:rsid w:val="00E11B20"/>
    <w:rsid w:val="00E1604D"/>
    <w:rsid w:val="00E17478"/>
    <w:rsid w:val="00E17FA2"/>
    <w:rsid w:val="00E219F5"/>
    <w:rsid w:val="00E22330"/>
    <w:rsid w:val="00E2375C"/>
    <w:rsid w:val="00E24737"/>
    <w:rsid w:val="00E2634C"/>
    <w:rsid w:val="00E30B5A"/>
    <w:rsid w:val="00E3123D"/>
    <w:rsid w:val="00E31352"/>
    <w:rsid w:val="00E31461"/>
    <w:rsid w:val="00E31D43"/>
    <w:rsid w:val="00E32310"/>
    <w:rsid w:val="00E32312"/>
    <w:rsid w:val="00E32608"/>
    <w:rsid w:val="00E34188"/>
    <w:rsid w:val="00E34B6E"/>
    <w:rsid w:val="00E35559"/>
    <w:rsid w:val="00E35A0A"/>
    <w:rsid w:val="00E37100"/>
    <w:rsid w:val="00E3723A"/>
    <w:rsid w:val="00E37860"/>
    <w:rsid w:val="00E446F1"/>
    <w:rsid w:val="00E45BB8"/>
    <w:rsid w:val="00E46886"/>
    <w:rsid w:val="00E47AEF"/>
    <w:rsid w:val="00E53B75"/>
    <w:rsid w:val="00E54E3B"/>
    <w:rsid w:val="00E55961"/>
    <w:rsid w:val="00E55F7B"/>
    <w:rsid w:val="00E57565"/>
    <w:rsid w:val="00E61167"/>
    <w:rsid w:val="00E62CD9"/>
    <w:rsid w:val="00E63838"/>
    <w:rsid w:val="00E64434"/>
    <w:rsid w:val="00E67C51"/>
    <w:rsid w:val="00E71C3D"/>
    <w:rsid w:val="00E72EE3"/>
    <w:rsid w:val="00E72EFC"/>
    <w:rsid w:val="00E733D7"/>
    <w:rsid w:val="00E739EA"/>
    <w:rsid w:val="00E758EC"/>
    <w:rsid w:val="00E8197A"/>
    <w:rsid w:val="00E8234C"/>
    <w:rsid w:val="00E83509"/>
    <w:rsid w:val="00E83AA9"/>
    <w:rsid w:val="00E85928"/>
    <w:rsid w:val="00E86C08"/>
    <w:rsid w:val="00E87822"/>
    <w:rsid w:val="00E90395"/>
    <w:rsid w:val="00E90C71"/>
    <w:rsid w:val="00E90E49"/>
    <w:rsid w:val="00E917F9"/>
    <w:rsid w:val="00E9291C"/>
    <w:rsid w:val="00E93FFE"/>
    <w:rsid w:val="00E94F8A"/>
    <w:rsid w:val="00EA0985"/>
    <w:rsid w:val="00EA20F4"/>
    <w:rsid w:val="00EA3230"/>
    <w:rsid w:val="00EA58E8"/>
    <w:rsid w:val="00EA6163"/>
    <w:rsid w:val="00EA67D3"/>
    <w:rsid w:val="00EA7A41"/>
    <w:rsid w:val="00EA7EEE"/>
    <w:rsid w:val="00EB077B"/>
    <w:rsid w:val="00EB3A13"/>
    <w:rsid w:val="00EB42E2"/>
    <w:rsid w:val="00EB4EA2"/>
    <w:rsid w:val="00EC082C"/>
    <w:rsid w:val="00EC0E84"/>
    <w:rsid w:val="00EC24D5"/>
    <w:rsid w:val="00EC27C6"/>
    <w:rsid w:val="00EC4207"/>
    <w:rsid w:val="00EC44C2"/>
    <w:rsid w:val="00EC5653"/>
    <w:rsid w:val="00EC6899"/>
    <w:rsid w:val="00EC71CE"/>
    <w:rsid w:val="00ED0B15"/>
    <w:rsid w:val="00ED1006"/>
    <w:rsid w:val="00ED19C3"/>
    <w:rsid w:val="00ED518E"/>
    <w:rsid w:val="00EE0342"/>
    <w:rsid w:val="00EE1A8B"/>
    <w:rsid w:val="00EF16CC"/>
    <w:rsid w:val="00EF18FE"/>
    <w:rsid w:val="00EF45F9"/>
    <w:rsid w:val="00EF508F"/>
    <w:rsid w:val="00EF5787"/>
    <w:rsid w:val="00EF60D0"/>
    <w:rsid w:val="00EF70C9"/>
    <w:rsid w:val="00F02416"/>
    <w:rsid w:val="00F04E71"/>
    <w:rsid w:val="00F0528D"/>
    <w:rsid w:val="00F06C67"/>
    <w:rsid w:val="00F06DFD"/>
    <w:rsid w:val="00F06F68"/>
    <w:rsid w:val="00F071D1"/>
    <w:rsid w:val="00F07533"/>
    <w:rsid w:val="00F10629"/>
    <w:rsid w:val="00F14B5B"/>
    <w:rsid w:val="00F15E31"/>
    <w:rsid w:val="00F15FA5"/>
    <w:rsid w:val="00F16064"/>
    <w:rsid w:val="00F209B7"/>
    <w:rsid w:val="00F22EEB"/>
    <w:rsid w:val="00F23415"/>
    <w:rsid w:val="00F2376F"/>
    <w:rsid w:val="00F243D8"/>
    <w:rsid w:val="00F30828"/>
    <w:rsid w:val="00F313D6"/>
    <w:rsid w:val="00F31732"/>
    <w:rsid w:val="00F31917"/>
    <w:rsid w:val="00F4007D"/>
    <w:rsid w:val="00F40F0C"/>
    <w:rsid w:val="00F46B62"/>
    <w:rsid w:val="00F4744C"/>
    <w:rsid w:val="00F4766C"/>
    <w:rsid w:val="00F478CC"/>
    <w:rsid w:val="00F47FFC"/>
    <w:rsid w:val="00F50245"/>
    <w:rsid w:val="00F5060E"/>
    <w:rsid w:val="00F507D1"/>
    <w:rsid w:val="00F519CE"/>
    <w:rsid w:val="00F51ADA"/>
    <w:rsid w:val="00F53A11"/>
    <w:rsid w:val="00F60203"/>
    <w:rsid w:val="00F607C5"/>
    <w:rsid w:val="00F60DEA"/>
    <w:rsid w:val="00F624A9"/>
    <w:rsid w:val="00F62639"/>
    <w:rsid w:val="00F62C8B"/>
    <w:rsid w:val="00F6302A"/>
    <w:rsid w:val="00F63950"/>
    <w:rsid w:val="00F6401C"/>
    <w:rsid w:val="00F64876"/>
    <w:rsid w:val="00F64C2B"/>
    <w:rsid w:val="00F651BE"/>
    <w:rsid w:val="00F65864"/>
    <w:rsid w:val="00F67F53"/>
    <w:rsid w:val="00F703BE"/>
    <w:rsid w:val="00F71F69"/>
    <w:rsid w:val="00F72B72"/>
    <w:rsid w:val="00F739A5"/>
    <w:rsid w:val="00F73BB9"/>
    <w:rsid w:val="00F74BB9"/>
    <w:rsid w:val="00F75582"/>
    <w:rsid w:val="00F75D53"/>
    <w:rsid w:val="00F76C1C"/>
    <w:rsid w:val="00F76EFA"/>
    <w:rsid w:val="00F804BE"/>
    <w:rsid w:val="00F80DED"/>
    <w:rsid w:val="00F817CE"/>
    <w:rsid w:val="00F8199E"/>
    <w:rsid w:val="00F8456C"/>
    <w:rsid w:val="00F856C3"/>
    <w:rsid w:val="00F859D8"/>
    <w:rsid w:val="00F868F5"/>
    <w:rsid w:val="00F86BA0"/>
    <w:rsid w:val="00F87D6D"/>
    <w:rsid w:val="00F9056A"/>
    <w:rsid w:val="00F90F8D"/>
    <w:rsid w:val="00F92782"/>
    <w:rsid w:val="00F92974"/>
    <w:rsid w:val="00F93AA9"/>
    <w:rsid w:val="00F96985"/>
    <w:rsid w:val="00F97838"/>
    <w:rsid w:val="00FA27D4"/>
    <w:rsid w:val="00FA2BB3"/>
    <w:rsid w:val="00FA5891"/>
    <w:rsid w:val="00FA7114"/>
    <w:rsid w:val="00FB037B"/>
    <w:rsid w:val="00FB1428"/>
    <w:rsid w:val="00FB4C80"/>
    <w:rsid w:val="00FB66B7"/>
    <w:rsid w:val="00FB6A6A"/>
    <w:rsid w:val="00FC4166"/>
    <w:rsid w:val="00FC5B09"/>
    <w:rsid w:val="00FC7429"/>
    <w:rsid w:val="00FD07F6"/>
    <w:rsid w:val="00FD1EC8"/>
    <w:rsid w:val="00FD47ED"/>
    <w:rsid w:val="00FD678D"/>
    <w:rsid w:val="00FD74DB"/>
    <w:rsid w:val="00FD7660"/>
    <w:rsid w:val="00FE011D"/>
    <w:rsid w:val="00FE0655"/>
    <w:rsid w:val="00FE2365"/>
    <w:rsid w:val="00FE2512"/>
    <w:rsid w:val="00FE37D7"/>
    <w:rsid w:val="00FE4BCB"/>
    <w:rsid w:val="00FE4C7B"/>
    <w:rsid w:val="00FE6948"/>
    <w:rsid w:val="00FE7336"/>
    <w:rsid w:val="00FE787C"/>
    <w:rsid w:val="00FF021C"/>
    <w:rsid w:val="00FF45A5"/>
    <w:rsid w:val="00FF5247"/>
    <w:rsid w:val="00FF5C91"/>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02B0684-A4E6-4B5D-AD1A-9FA903A5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11"/>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F53A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3A11"/>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22"/>
      </w:numPr>
    </w:pPr>
  </w:style>
  <w:style w:type="paragraph" w:styleId="ListNumber">
    <w:name w:val="List Number"/>
    <w:basedOn w:val="List"/>
    <w:rsid w:val="000F001F"/>
    <w:pPr>
      <w:numPr>
        <w:numId w:val="2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ind w:left="454" w:hanging="454"/>
    </w:pPr>
    <w:rPr>
      <w:sz w:val="16"/>
    </w:rPr>
  </w:style>
  <w:style w:type="paragraph" w:customStyle="1" w:styleId="3GPPHeader">
    <w:name w:val="3GPP_Header"/>
    <w:basedOn w:val="BodyText"/>
    <w:rsid w:val="000F001F"/>
    <w:pPr>
      <w:tabs>
        <w:tab w:val="left" w:pos="1701"/>
        <w:tab w:val="right" w:pos="9639"/>
      </w:tabs>
      <w:spacing w:after="240"/>
    </w:pPr>
    <w:rPr>
      <w:b/>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17"/>
      </w:numPr>
    </w:pPr>
  </w:style>
  <w:style w:type="paragraph" w:styleId="ListBullet">
    <w:name w:val="List Bullet"/>
    <w:basedOn w:val="List"/>
    <w:rsid w:val="000F001F"/>
    <w:pPr>
      <w:numPr>
        <w:numId w:val="16"/>
      </w:numPr>
    </w:pPr>
    <w:rPr>
      <w:lang w:eastAsia="ja-JP"/>
    </w:rPr>
  </w:style>
  <w:style w:type="paragraph" w:styleId="ListBullet3">
    <w:name w:val="List Bullet 3"/>
    <w:basedOn w:val="ListBullet2"/>
    <w:rsid w:val="000F001F"/>
    <w:pPr>
      <w:numPr>
        <w:numId w:val="1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19"/>
      </w:numPr>
    </w:pPr>
  </w:style>
  <w:style w:type="paragraph" w:styleId="ListBullet5">
    <w:name w:val="List Bullet 5"/>
    <w:basedOn w:val="ListBullet4"/>
    <w:rsid w:val="000F001F"/>
    <w:pPr>
      <w:numPr>
        <w:numId w:val="2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2"/>
      </w:numPr>
    </w:pPr>
  </w:style>
  <w:style w:type="paragraph" w:styleId="BalloonText">
    <w:name w:val="Balloon Text"/>
    <w:basedOn w:val="Normal"/>
    <w:link w:val="BalloonTextChar"/>
    <w:rsid w:val="000F001F"/>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qFormat/>
    <w:rsid w:val="000F001F"/>
    <w:pPr>
      <w:numPr>
        <w:numId w:val="3"/>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style>
  <w:style w:type="paragraph" w:customStyle="1" w:styleId="TAL">
    <w:name w:val="TAL"/>
    <w:basedOn w:val="Normal"/>
    <w:link w:val="TALCar"/>
    <w:rsid w:val="000F001F"/>
    <w:pPr>
      <w:keepNext/>
      <w:keepLines/>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style>
  <w:style w:type="paragraph" w:customStyle="1" w:styleId="Observation">
    <w:name w:val="Observation"/>
    <w:basedOn w:val="Proposal"/>
    <w:qFormat/>
    <w:rsid w:val="000F001F"/>
    <w:pPr>
      <w:numPr>
        <w:numId w:val="13"/>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14"/>
      </w:numPr>
      <w:spacing w:before="40"/>
    </w:pPr>
    <w:rPr>
      <w:rFonts w:ascii="Arial" w:eastAsia="MS Mincho" w:hAnsi="Arial"/>
      <w:b/>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001F"/>
    <w:pPr>
      <w:ind w:left="720"/>
    </w:pPr>
    <w:rPr>
      <w:rFonts w:ascii="Calibri" w:eastAsia="Calibri" w:hAnsi="Calibri"/>
      <w:lang w:val="x-none"/>
    </w:rPr>
  </w:style>
  <w:style w:type="character" w:customStyle="1" w:styleId="ListParagraphChar">
    <w:name w:val="List Paragraph Char"/>
    <w:link w:val="ListParagraph"/>
    <w:uiPriority w:val="34"/>
    <w:locked/>
    <w:rsid w:val="000F001F"/>
    <w:rPr>
      <w:rFonts w:ascii="Calibri" w:eastAsia="Calibri" w:hAnsi="Calibri"/>
      <w:sz w:val="22"/>
      <w:szCs w:val="22"/>
      <w:lang w:val="x-none" w:eastAsia="en-US"/>
    </w:rPr>
  </w:style>
  <w:style w:type="paragraph" w:customStyle="1" w:styleId="NF">
    <w:name w:val="NF"/>
    <w:basedOn w:val="NO"/>
    <w:rsid w:val="000F001F"/>
    <w:pPr>
      <w:keepNext/>
    </w:pPr>
    <w:rPr>
      <w:rFonts w:ascii="Arial" w:hAnsi="Arial"/>
      <w:sz w:val="18"/>
    </w:rPr>
  </w:style>
  <w:style w:type="paragraph" w:customStyle="1" w:styleId="NW">
    <w:name w:val="NW"/>
    <w:basedOn w:val="NO"/>
    <w:rsid w:val="000F001F"/>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10"/>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pPr>
    <w:rPr>
      <w:rFonts w:ascii="Arial" w:eastAsia="MS Mincho" w:hAnsi="Arial"/>
      <w:b/>
      <w:lang w:eastAsia="en-GB"/>
    </w:rPr>
  </w:style>
  <w:style w:type="paragraph" w:styleId="Revision">
    <w:name w:val="Revision"/>
    <w:hidden/>
    <w:uiPriority w:val="99"/>
    <w:semiHidden/>
    <w:rsid w:val="00C566C3"/>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457996021">
      <w:bodyDiv w:val="1"/>
      <w:marLeft w:val="0"/>
      <w:marRight w:val="0"/>
      <w:marTop w:val="0"/>
      <w:marBottom w:val="0"/>
      <w:divBdr>
        <w:top w:val="none" w:sz="0" w:space="0" w:color="auto"/>
        <w:left w:val="none" w:sz="0" w:space="0" w:color="auto"/>
        <w:bottom w:val="none" w:sz="0" w:space="0" w:color="auto"/>
        <w:right w:val="none" w:sz="0" w:space="0" w:color="auto"/>
      </w:divBdr>
    </w:div>
    <w:div w:id="1141003531">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84532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5NUHHDQN7SK2-1476151046-44242</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https://ericsson.sharepoint.com/sites/star/_layouts/15/DocIdRedir.aspx?ID=5NUHHDQN7SK2-1476151046-44242</Url>
      <Description>5NUHHDQN7SK2-1476151046-44242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FC6A-98FE-4681-93F8-10C238F9D1BC}">
  <ds:schemaRefs>
    <ds:schemaRef ds:uri="Microsoft.SharePoint.Taxonomy.ContentTypeSync"/>
  </ds:schemaRefs>
</ds:datastoreItem>
</file>

<file path=customXml/itemProps2.xml><?xml version="1.0" encoding="utf-8"?>
<ds:datastoreItem xmlns:ds="http://schemas.openxmlformats.org/officeDocument/2006/customXml" ds:itemID="{9372845C-70DB-4011-8B91-D9C6406F2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4.xml><?xml version="1.0" encoding="utf-8"?>
<ds:datastoreItem xmlns:ds="http://schemas.openxmlformats.org/officeDocument/2006/customXml" ds:itemID="{A2C33C23-07CC-40A1-BC73-7429EF378291}">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FBD4AD07-D5E3-4165-A20C-F5829A6E2C17}">
  <ds:schemaRefs>
    <ds:schemaRef ds:uri="http://schemas.microsoft.com/sharepoint/events"/>
  </ds:schemaRefs>
</ds:datastoreItem>
</file>

<file path=customXml/itemProps6.xml><?xml version="1.0" encoding="utf-8"?>
<ds:datastoreItem xmlns:ds="http://schemas.openxmlformats.org/officeDocument/2006/customXml" ds:itemID="{29195FA9-34BA-4F53-AE5D-DD67D6A28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14721</TotalTime>
  <Pages>7</Pages>
  <Words>2160</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14444</CharactersWithSpaces>
  <SharedDoc>false</SharedDoc>
  <HLinks>
    <vt:vector size="6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2031672</vt:i4>
      </vt:variant>
      <vt:variant>
        <vt:i4>35</vt:i4>
      </vt:variant>
      <vt:variant>
        <vt:i4>0</vt:i4>
      </vt:variant>
      <vt:variant>
        <vt:i4>5</vt:i4>
      </vt:variant>
      <vt:variant>
        <vt:lpwstr/>
      </vt:variant>
      <vt:variant>
        <vt:lpwstr>_Toc528866340</vt:lpwstr>
      </vt:variant>
      <vt:variant>
        <vt:i4>1572920</vt:i4>
      </vt:variant>
      <vt:variant>
        <vt:i4>32</vt:i4>
      </vt:variant>
      <vt:variant>
        <vt:i4>0</vt:i4>
      </vt:variant>
      <vt:variant>
        <vt:i4>5</vt:i4>
      </vt:variant>
      <vt:variant>
        <vt:lpwstr/>
      </vt:variant>
      <vt:variant>
        <vt:lpwstr>_Toc528866339</vt:lpwstr>
      </vt:variant>
      <vt:variant>
        <vt:i4>1572920</vt:i4>
      </vt:variant>
      <vt:variant>
        <vt:i4>29</vt:i4>
      </vt:variant>
      <vt:variant>
        <vt:i4>0</vt:i4>
      </vt:variant>
      <vt:variant>
        <vt:i4>5</vt:i4>
      </vt:variant>
      <vt:variant>
        <vt:lpwstr/>
      </vt:variant>
      <vt:variant>
        <vt:lpwstr>_Toc528866338</vt:lpwstr>
      </vt:variant>
      <vt:variant>
        <vt:i4>1572920</vt:i4>
      </vt:variant>
      <vt:variant>
        <vt:i4>26</vt:i4>
      </vt:variant>
      <vt:variant>
        <vt:i4>0</vt:i4>
      </vt:variant>
      <vt:variant>
        <vt:i4>5</vt:i4>
      </vt:variant>
      <vt:variant>
        <vt:lpwstr/>
      </vt:variant>
      <vt:variant>
        <vt:lpwstr>_Toc528866337</vt:lpwstr>
      </vt:variant>
      <vt:variant>
        <vt:i4>1572920</vt:i4>
      </vt:variant>
      <vt:variant>
        <vt:i4>20</vt:i4>
      </vt:variant>
      <vt:variant>
        <vt:i4>0</vt:i4>
      </vt:variant>
      <vt:variant>
        <vt:i4>5</vt:i4>
      </vt:variant>
      <vt:variant>
        <vt:lpwstr/>
      </vt:variant>
      <vt:variant>
        <vt:lpwstr>_Toc528866332</vt:lpwstr>
      </vt:variant>
      <vt:variant>
        <vt:i4>1572920</vt:i4>
      </vt:variant>
      <vt:variant>
        <vt:i4>17</vt:i4>
      </vt:variant>
      <vt:variant>
        <vt:i4>0</vt:i4>
      </vt:variant>
      <vt:variant>
        <vt:i4>5</vt:i4>
      </vt:variant>
      <vt:variant>
        <vt:lpwstr/>
      </vt:variant>
      <vt:variant>
        <vt:lpwstr>_Toc528866331</vt:lpwstr>
      </vt:variant>
      <vt:variant>
        <vt:i4>1572920</vt:i4>
      </vt:variant>
      <vt:variant>
        <vt:i4>14</vt:i4>
      </vt:variant>
      <vt:variant>
        <vt:i4>0</vt:i4>
      </vt:variant>
      <vt:variant>
        <vt:i4>5</vt:i4>
      </vt:variant>
      <vt:variant>
        <vt:lpwstr/>
      </vt:variant>
      <vt:variant>
        <vt:lpwstr>_Toc528866330</vt:lpwstr>
      </vt:variant>
      <vt:variant>
        <vt:i4>1638456</vt:i4>
      </vt:variant>
      <vt:variant>
        <vt:i4>11</vt:i4>
      </vt:variant>
      <vt:variant>
        <vt:i4>0</vt:i4>
      </vt:variant>
      <vt:variant>
        <vt:i4>5</vt:i4>
      </vt:variant>
      <vt:variant>
        <vt:lpwstr/>
      </vt:variant>
      <vt:variant>
        <vt:lpwstr>_Toc528866329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A. Yavuz</cp:lastModifiedBy>
  <cp:revision>676</cp:revision>
  <cp:lastPrinted>2008-01-31T08:09:00Z</cp:lastPrinted>
  <dcterms:created xsi:type="dcterms:W3CDTF">2018-10-21T14:32:00Z</dcterms:created>
  <dcterms:modified xsi:type="dcterms:W3CDTF">2019-03-28T23:32:00Z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90d4a921-24d3-4210-b3df-a559f662dcee</vt:lpwstr>
  </property>
  <property fmtid="{D5CDD505-2E9C-101B-9397-08002B2CF9AE}" pid="13" name="EriCOLLProjects">
    <vt:lpwstr/>
  </property>
  <property fmtid="{D5CDD505-2E9C-101B-9397-08002B2CF9AE}" pid="14" name="AuthorIds_UIVersion_1536">
    <vt:lpwstr>326</vt:lpwstr>
  </property>
  <property fmtid="{D5CDD505-2E9C-101B-9397-08002B2CF9AE}" pid="15" name="AuthorIds_UIVersion_4608">
    <vt:lpwstr>220</vt:lpwstr>
  </property>
  <property fmtid="{D5CDD505-2E9C-101B-9397-08002B2CF9AE}" pid="16" name="AuthorIds_UIVersion_5120">
    <vt:lpwstr>220</vt:lpwstr>
  </property>
  <property fmtid="{D5CDD505-2E9C-101B-9397-08002B2CF9AE}" pid="17" name="AuthorIds_UIVersion_5632">
    <vt:lpwstr>220</vt:lpwstr>
  </property>
  <property fmtid="{D5CDD505-2E9C-101B-9397-08002B2CF9AE}" pid="18" name="AuthorIds_UIVersion_6144">
    <vt:lpwstr>326</vt:lpwstr>
  </property>
  <property fmtid="{D5CDD505-2E9C-101B-9397-08002B2CF9AE}" pid="19" name="AuthorIds_UIVersion_6656">
    <vt:lpwstr>136</vt:lpwstr>
  </property>
  <property fmtid="{D5CDD505-2E9C-101B-9397-08002B2CF9AE}" pid="20" name="AuthorIds_UIVersion_8704">
    <vt:lpwstr>136</vt:lpwstr>
  </property>
  <property fmtid="{D5CDD505-2E9C-101B-9397-08002B2CF9AE}" pid="21" name="AuthorIds_UIVersion_9728">
    <vt:lpwstr>136</vt:lpwstr>
  </property>
  <property fmtid="{D5CDD505-2E9C-101B-9397-08002B2CF9AE}" pid="22" name="AuthorIds_UIVersion_10240">
    <vt:lpwstr>136</vt:lpwstr>
  </property>
  <property fmtid="{D5CDD505-2E9C-101B-9397-08002B2CF9AE}" pid="23" name="AuthorIds_UIVersion_10752">
    <vt:lpwstr>336</vt:lpwstr>
  </property>
  <property fmtid="{D5CDD505-2E9C-101B-9397-08002B2CF9AE}" pid="24" name="AuthorIds_UIVersion_11264">
    <vt:lpwstr>336</vt:lpwstr>
  </property>
  <property fmtid="{D5CDD505-2E9C-101B-9397-08002B2CF9AE}" pid="25" name="AuthorIds_UIVersion_12288">
    <vt:lpwstr>136</vt:lpwstr>
  </property>
  <property fmtid="{D5CDD505-2E9C-101B-9397-08002B2CF9AE}" pid="26" name="AuthorIds_UIVersion_13312">
    <vt:lpwstr>136</vt:lpwstr>
  </property>
  <property fmtid="{D5CDD505-2E9C-101B-9397-08002B2CF9AE}" pid="27" name="AuthorIds_UIVersion_2048">
    <vt:lpwstr>336</vt:lpwstr>
  </property>
  <property fmtid="{D5CDD505-2E9C-101B-9397-08002B2CF9AE}" pid="28" name="AuthorIds_UIVersion_2560">
    <vt:lpwstr>326</vt:lpwstr>
  </property>
  <property fmtid="{D5CDD505-2E9C-101B-9397-08002B2CF9AE}" pid="29" name="AuthorIds_UIVersion_4096">
    <vt:lpwstr>136</vt:lpwstr>
  </property>
</Properties>
</file>